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D1480AE" w:rsidR="00712562" w:rsidRPr="00F46F7F" w:rsidRDefault="00F31EA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#104</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A822D0">
        <w:rPr>
          <w:rFonts w:cs="Arial"/>
          <w:bCs/>
          <w:noProof w:val="0"/>
          <w:sz w:val="24"/>
          <w:szCs w:val="24"/>
          <w:lang w:val="en-US"/>
        </w:rPr>
        <w:t>R1-</w:t>
      </w:r>
      <w:r w:rsidRPr="00A822D0">
        <w:rPr>
          <w:rFonts w:cs="Arial"/>
          <w:bCs/>
          <w:noProof w:val="0"/>
          <w:sz w:val="24"/>
          <w:szCs w:val="24"/>
          <w:lang w:val="en-US"/>
        </w:rPr>
        <w:t>21</w:t>
      </w:r>
      <w:r w:rsidR="00F61048" w:rsidRPr="00A822D0">
        <w:rPr>
          <w:rFonts w:cs="Arial"/>
          <w:bCs/>
          <w:noProof w:val="0"/>
          <w:sz w:val="24"/>
          <w:szCs w:val="24"/>
          <w:lang w:val="en-US"/>
        </w:rPr>
        <w:t>0</w:t>
      </w:r>
      <w:r w:rsidR="00A822D0" w:rsidRPr="00A822D0">
        <w:rPr>
          <w:rFonts w:cs="Arial"/>
          <w:bCs/>
          <w:noProof w:val="0"/>
          <w:sz w:val="24"/>
          <w:szCs w:val="24"/>
          <w:lang w:val="en-US"/>
        </w:rPr>
        <w:t>1193</w:t>
      </w:r>
    </w:p>
    <w:p w14:paraId="75B68434" w14:textId="5DE9BB90"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F31EA6" w:rsidRPr="00F31EA6">
        <w:rPr>
          <w:rFonts w:cs="Arial"/>
          <w:bCs/>
          <w:noProof w:val="0"/>
          <w:sz w:val="24"/>
          <w:szCs w:val="24"/>
          <w:lang w:val="en-US"/>
        </w:rPr>
        <w:t>January 25th – February 5th,</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72503AB0"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986595">
        <w:rPr>
          <w:rFonts w:ascii="Arial" w:hAnsi="Arial"/>
          <w:sz w:val="24"/>
        </w:rPr>
        <w:t>5</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bookmarkStart w:id="3" w:name="_GoBack"/>
      <w:bookmarkEnd w:id="3"/>
    </w:p>
    <w:p w14:paraId="57220B13" w14:textId="02CEAC2B"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986595" w:rsidRPr="00986595">
        <w:rPr>
          <w:rFonts w:ascii="Arial" w:hAnsi="Arial"/>
          <w:sz w:val="24"/>
          <w:szCs w:val="24"/>
        </w:rPr>
        <w:t>Additional enhancements for multi-beam</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429AC75D" w14:textId="523E0CF0" w:rsidR="00FB2C4D" w:rsidRDefault="00FB2C4D" w:rsidP="00632ECC">
      <w:pPr>
        <w:pStyle w:val="Style1"/>
        <w:spacing w:after="60" w:afterAutospacing="0" w:line="288" w:lineRule="auto"/>
        <w:ind w:firstLine="0"/>
      </w:pPr>
      <w:r>
        <w:t xml:space="preserve">In release 17 </w:t>
      </w:r>
      <w:r>
        <w:fldChar w:fldCharType="begin"/>
      </w:r>
      <w:r>
        <w:instrText xml:space="preserve"> REF _Ref61442023 \r \h </w:instrText>
      </w:r>
      <w:r>
        <w:fldChar w:fldCharType="separate"/>
      </w:r>
      <w:r w:rsidR="00BD368E">
        <w:t>[2]</w:t>
      </w:r>
      <w:r>
        <w:fldChar w:fldCharType="end"/>
      </w:r>
      <w:r>
        <w:t xml:space="preserve">, multi-beam operation is being enhanced to support more efficient (i.e. lower latency and lower overhead) beam management targeting scenarios with higher speed UEs (e.g. High Speed Trains and </w:t>
      </w:r>
      <w:r w:rsidR="00E96DD9">
        <w:t xml:space="preserve">Highways), and a larger number of configured TCI states. Multi-beam operation is also being enhanced to facilitate uplink panel selection considering coverage loss mitigation for MPE. In release 17, multi-beam enhancements are focusing on </w:t>
      </w:r>
      <w:r w:rsidR="00E96DD9">
        <w:fldChar w:fldCharType="begin"/>
      </w:r>
      <w:r w:rsidR="00E96DD9">
        <w:instrText xml:space="preserve"> REF _Ref52983144 \r \h </w:instrText>
      </w:r>
      <w:r w:rsidR="00E96DD9">
        <w:fldChar w:fldCharType="separate"/>
      </w:r>
      <w:r w:rsidR="00BD368E">
        <w:t>[1]</w:t>
      </w:r>
      <w:r w:rsidR="00E96DD9">
        <w:fldChar w:fldCharType="end"/>
      </w:r>
      <w:r w:rsidR="00E96DD9">
        <w:t>:</w:t>
      </w:r>
    </w:p>
    <w:p w14:paraId="36406F85" w14:textId="61B97505" w:rsidR="00E96DD9" w:rsidRDefault="00E96DD9" w:rsidP="00E96DD9">
      <w:pPr>
        <w:pStyle w:val="Style1"/>
        <w:numPr>
          <w:ilvl w:val="0"/>
          <w:numId w:val="39"/>
        </w:numPr>
        <w:spacing w:after="60" w:afterAutospacing="0" w:line="288" w:lineRule="auto"/>
      </w:pPr>
      <w:r>
        <w:t>Unified TCI Framework for DL and UL TCI states.</w:t>
      </w:r>
    </w:p>
    <w:p w14:paraId="22CB34BC" w14:textId="5DCD9CF4" w:rsidR="00E96DD9" w:rsidRDefault="00E96DD9" w:rsidP="00E96DD9">
      <w:pPr>
        <w:pStyle w:val="Style1"/>
        <w:numPr>
          <w:ilvl w:val="0"/>
          <w:numId w:val="39"/>
        </w:numPr>
        <w:spacing w:after="60" w:afterAutospacing="0" w:line="288" w:lineRule="auto"/>
      </w:pPr>
      <w:r>
        <w:t>L1/L2-centeric inter-cell mobility.</w:t>
      </w:r>
    </w:p>
    <w:p w14:paraId="340B2671" w14:textId="58034225" w:rsidR="00E96DD9" w:rsidRDefault="00E96DD9" w:rsidP="00E96DD9">
      <w:pPr>
        <w:pStyle w:val="Style1"/>
        <w:numPr>
          <w:ilvl w:val="0"/>
          <w:numId w:val="39"/>
        </w:numPr>
        <w:spacing w:after="60" w:afterAutospacing="0" w:line="288" w:lineRule="auto"/>
      </w:pPr>
      <w:r>
        <w:t>Fast, dynamic TCI state update signaling.</w:t>
      </w:r>
    </w:p>
    <w:p w14:paraId="100D75C3" w14:textId="72564B5D" w:rsidR="00E96DD9" w:rsidRDefault="00E96DD9" w:rsidP="00E96DD9">
      <w:pPr>
        <w:pStyle w:val="Style1"/>
        <w:numPr>
          <w:ilvl w:val="0"/>
          <w:numId w:val="39"/>
        </w:numPr>
        <w:spacing w:after="60" w:afterAutospacing="0" w:line="288" w:lineRule="auto"/>
      </w:pPr>
      <w:r>
        <w:t>Fast uplink panel selection for MP-UEs.</w:t>
      </w:r>
    </w:p>
    <w:p w14:paraId="739610A4" w14:textId="0D4BE69D" w:rsidR="00E96DD9" w:rsidRDefault="00E96DD9" w:rsidP="00E96DD9">
      <w:pPr>
        <w:pStyle w:val="Style1"/>
        <w:numPr>
          <w:ilvl w:val="0"/>
          <w:numId w:val="39"/>
        </w:numPr>
        <w:spacing w:after="60" w:afterAutospacing="0" w:line="288" w:lineRule="auto"/>
      </w:pPr>
      <w:r>
        <w:t>MPE mitigation.</w:t>
      </w:r>
    </w:p>
    <w:p w14:paraId="22E644BC" w14:textId="71114419" w:rsidR="00E96DD9" w:rsidRDefault="00E96DD9" w:rsidP="00E96DD9">
      <w:pPr>
        <w:pStyle w:val="Style1"/>
        <w:spacing w:after="60" w:afterAutospacing="0" w:line="288" w:lineRule="auto"/>
        <w:ind w:firstLine="0"/>
      </w:pPr>
    </w:p>
    <w:p w14:paraId="3E6E6E1D" w14:textId="257D6554" w:rsidR="00E96DD9" w:rsidRDefault="00E96DD9" w:rsidP="00E96DD9">
      <w:pPr>
        <w:pStyle w:val="Style1"/>
        <w:spacing w:after="60" w:afterAutospacing="0" w:line="288" w:lineRule="auto"/>
        <w:ind w:firstLine="0"/>
      </w:pPr>
      <w:r>
        <w:t>In addition, advanced beam management techniques are also being considered to speed up beam measurement and repor</w:t>
      </w:r>
      <w:r w:rsidR="00B50CE0">
        <w:t>ting for improved beam tracking and beam refinement. In this document we consider additional enhancements for beam management by looking into multi-beam enhancements for:</w:t>
      </w:r>
    </w:p>
    <w:p w14:paraId="1A07A724" w14:textId="03E36EF5" w:rsidR="00B50CE0" w:rsidRDefault="00B50CE0" w:rsidP="00B50CE0">
      <w:pPr>
        <w:pStyle w:val="Style1"/>
        <w:numPr>
          <w:ilvl w:val="0"/>
          <w:numId w:val="39"/>
        </w:numPr>
        <w:spacing w:after="60" w:afterAutospacing="0" w:line="288" w:lineRule="auto"/>
      </w:pPr>
      <w:r>
        <w:t>Group-based mobility</w:t>
      </w:r>
    </w:p>
    <w:p w14:paraId="47245CCF" w14:textId="499C0C79" w:rsidR="00B50CE0" w:rsidRDefault="00B50CE0" w:rsidP="00B50CE0">
      <w:pPr>
        <w:pStyle w:val="Style1"/>
        <w:numPr>
          <w:ilvl w:val="0"/>
          <w:numId w:val="39"/>
        </w:numPr>
        <w:spacing w:after="60" w:afterAutospacing="0" w:line="288" w:lineRule="auto"/>
      </w:pPr>
      <w:r>
        <w:t>Initial access</w:t>
      </w:r>
    </w:p>
    <w:p w14:paraId="0297540E" w14:textId="6D75240E" w:rsidR="00B50CE0" w:rsidRDefault="00B50CE0" w:rsidP="00B50CE0">
      <w:pPr>
        <w:pStyle w:val="Style1"/>
        <w:numPr>
          <w:ilvl w:val="0"/>
          <w:numId w:val="39"/>
        </w:numPr>
        <w:spacing w:after="60" w:afterAutospacing="0" w:line="288" w:lineRule="auto"/>
      </w:pPr>
      <w:r>
        <w:t>Leveraging position measurements for multi-beam operation</w:t>
      </w:r>
    </w:p>
    <w:p w14:paraId="6D54B852" w14:textId="4D7C3FF0" w:rsidR="00815AF5" w:rsidRDefault="00986595" w:rsidP="00986595">
      <w:pPr>
        <w:pStyle w:val="Heading1"/>
        <w:rPr>
          <w:lang w:eastAsia="ko-KR"/>
        </w:rPr>
      </w:pPr>
      <w:r w:rsidRPr="00986595">
        <w:rPr>
          <w:lang w:eastAsia="ko-KR"/>
        </w:rPr>
        <w:t>Group-based beam indication</w:t>
      </w:r>
    </w:p>
    <w:p w14:paraId="791646FF" w14:textId="77777777" w:rsidR="00986595" w:rsidRDefault="00986595" w:rsidP="00986595">
      <w:pPr>
        <w:spacing w:after="60" w:line="288" w:lineRule="auto"/>
        <w:rPr>
          <w:lang w:val="en-GB" w:eastAsia="ko-KR"/>
        </w:rPr>
      </w:pPr>
      <w:r>
        <w:rPr>
          <w:lang w:val="en-GB" w:eastAsia="ko-KR"/>
        </w:rPr>
        <w:t>In group-based beam indication, beam indication is provided for a group of UEs. We consider two-examples:</w:t>
      </w:r>
    </w:p>
    <w:p w14:paraId="66AEA7FC" w14:textId="1663B9D1" w:rsidR="00986595" w:rsidRDefault="00986595" w:rsidP="00986595">
      <w:pPr>
        <w:pStyle w:val="ListParagraph"/>
        <w:numPr>
          <w:ilvl w:val="0"/>
          <w:numId w:val="17"/>
        </w:numPr>
        <w:spacing w:after="60" w:line="288" w:lineRule="auto"/>
        <w:jc w:val="both"/>
        <w:rPr>
          <w:lang w:val="en-GB" w:eastAsia="ko-KR"/>
        </w:rPr>
      </w:pPr>
      <w:r w:rsidRPr="008674BA">
        <w:rPr>
          <w:lang w:val="en-GB" w:eastAsia="ko-KR"/>
        </w:rPr>
        <w:t xml:space="preserve">In the first example, a group of UEs </w:t>
      </w:r>
      <w:r>
        <w:rPr>
          <w:lang w:val="en-GB" w:eastAsia="ko-KR"/>
        </w:rPr>
        <w:t>is</w:t>
      </w:r>
      <w:r w:rsidRPr="008674BA">
        <w:rPr>
          <w:lang w:val="en-GB" w:eastAsia="ko-KR"/>
        </w:rPr>
        <w:t xml:space="preserve"> moving together in the same direction and </w:t>
      </w:r>
      <w:r>
        <w:rPr>
          <w:lang w:val="en-GB" w:eastAsia="ko-KR"/>
        </w:rPr>
        <w:t>at</w:t>
      </w:r>
      <w:r w:rsidRPr="008674BA">
        <w:rPr>
          <w:lang w:val="en-GB" w:eastAsia="ko-KR"/>
        </w:rPr>
        <w:t xml:space="preserve"> the same speed. For example, the</w:t>
      </w:r>
      <w:r>
        <w:rPr>
          <w:lang w:val="en-GB" w:eastAsia="ko-KR"/>
        </w:rPr>
        <w:t>y</w:t>
      </w:r>
      <w:r w:rsidRPr="008674BA">
        <w:rPr>
          <w:lang w:val="en-GB" w:eastAsia="ko-KR"/>
        </w:rPr>
        <w:t xml:space="preserve"> can be UEs in a train or other transportation vehicle</w:t>
      </w:r>
      <w:r>
        <w:rPr>
          <w:lang w:val="en-GB" w:eastAsia="ko-KR"/>
        </w:rPr>
        <w:t>s</w:t>
      </w:r>
      <w:r w:rsidRPr="008674BA">
        <w:rPr>
          <w:lang w:val="en-GB" w:eastAsia="ko-KR"/>
        </w:rPr>
        <w:t xml:space="preserve">. As the UEs are moving together, a common beam indication </w:t>
      </w:r>
      <w:r>
        <w:rPr>
          <w:lang w:val="en-GB" w:eastAsia="ko-KR"/>
        </w:rPr>
        <w:t>(TCI state update) signalling</w:t>
      </w:r>
      <w:r w:rsidRPr="008674BA">
        <w:rPr>
          <w:lang w:val="en-GB" w:eastAsia="ko-KR"/>
        </w:rPr>
        <w:t xml:space="preserve"> can be used to update the </w:t>
      </w:r>
      <w:r>
        <w:rPr>
          <w:lang w:val="en-GB" w:eastAsia="ko-KR"/>
        </w:rPr>
        <w:t>TCI state</w:t>
      </w:r>
      <w:r w:rsidRPr="008674BA">
        <w:rPr>
          <w:lang w:val="en-GB" w:eastAsia="ko-KR"/>
        </w:rPr>
        <w:t xml:space="preserve"> for all UEs in the group.</w:t>
      </w:r>
      <w:r>
        <w:rPr>
          <w:lang w:val="en-GB" w:eastAsia="ko-KR"/>
        </w:rPr>
        <w:t xml:space="preserve"> An example is shown in</w:t>
      </w:r>
      <w:r w:rsidR="00B50CE0">
        <w:rPr>
          <w:lang w:val="en-GB" w:eastAsia="ko-KR"/>
        </w:rPr>
        <w:t xml:space="preserve"> </w:t>
      </w:r>
      <w:r w:rsidR="00B50CE0">
        <w:rPr>
          <w:lang w:val="en-GB" w:eastAsia="ko-KR"/>
        </w:rPr>
        <w:fldChar w:fldCharType="begin"/>
      </w:r>
      <w:r w:rsidR="00B50CE0">
        <w:rPr>
          <w:lang w:val="en-GB" w:eastAsia="ko-KR"/>
        </w:rPr>
        <w:instrText xml:space="preserve"> REF _Ref61443320 \h </w:instrText>
      </w:r>
      <w:r w:rsidR="00B50CE0">
        <w:rPr>
          <w:lang w:val="en-GB" w:eastAsia="ko-KR"/>
        </w:rPr>
      </w:r>
      <w:r w:rsidR="00B50CE0">
        <w:rPr>
          <w:lang w:val="en-GB" w:eastAsia="ko-KR"/>
        </w:rPr>
        <w:fldChar w:fldCharType="separate"/>
      </w:r>
      <w:r w:rsidR="00BD368E">
        <w:t xml:space="preserve">Figure </w:t>
      </w:r>
      <w:r w:rsidR="00BD368E">
        <w:rPr>
          <w:noProof/>
        </w:rPr>
        <w:t>1</w:t>
      </w:r>
      <w:r w:rsidR="00B50CE0">
        <w:rPr>
          <w:lang w:val="en-GB" w:eastAsia="ko-KR"/>
        </w:rPr>
        <w:fldChar w:fldCharType="end"/>
      </w:r>
      <w:r>
        <w:rPr>
          <w:lang w:val="en-GB"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556F586B" w14:textId="77777777" w:rsidR="00986595" w:rsidRDefault="00986595" w:rsidP="00986595">
      <w:pPr>
        <w:pStyle w:val="ListParagraph"/>
        <w:spacing w:after="60" w:line="288" w:lineRule="auto"/>
        <w:ind w:left="1440"/>
        <w:jc w:val="both"/>
        <w:rPr>
          <w:lang w:val="en-GB" w:eastAsia="ko-KR"/>
        </w:rPr>
      </w:pPr>
      <w:r>
        <w:rPr>
          <w:lang w:val="en-GB" w:eastAsia="ko-KR"/>
        </w:rPr>
        <w:t>1) Reduced overhead, due to fewer beam reports and fewer beam indications</w:t>
      </w:r>
    </w:p>
    <w:p w14:paraId="2B9FF3F6" w14:textId="77777777" w:rsidR="00986595" w:rsidRDefault="00986595" w:rsidP="00986595">
      <w:pPr>
        <w:pStyle w:val="ListParagraph"/>
        <w:spacing w:after="60" w:line="288" w:lineRule="auto"/>
        <w:ind w:left="1440"/>
        <w:jc w:val="both"/>
        <w:rPr>
          <w:lang w:val="en-GB" w:eastAsia="ko-KR"/>
        </w:rPr>
      </w:pPr>
      <w:r>
        <w:rPr>
          <w:lang w:val="en-GB" w:eastAsia="ko-KR"/>
        </w:rPr>
        <w:t>2) Reduced baseband power consumption, due to beam measurements and reporting only performed by the group leader;</w:t>
      </w:r>
    </w:p>
    <w:p w14:paraId="325EFE35" w14:textId="77777777" w:rsidR="00986595" w:rsidRDefault="00986595" w:rsidP="00986595">
      <w:pPr>
        <w:pStyle w:val="ListParagraph"/>
        <w:spacing w:after="60" w:line="288" w:lineRule="auto"/>
        <w:ind w:left="1440"/>
        <w:jc w:val="both"/>
        <w:rPr>
          <w:lang w:val="en-GB" w:eastAsia="ko-KR"/>
        </w:rPr>
      </w:pPr>
      <w:r>
        <w:rPr>
          <w:lang w:val="en-GB" w:eastAsia="ko-KR"/>
        </w:rPr>
        <w:t>3) Improved reliability and reduced latency, as there is a single beam report from the group leader, higher resolution (more narrow beams) and more frequent beam reports can be supported.</w:t>
      </w:r>
    </w:p>
    <w:p w14:paraId="014B08EE" w14:textId="23C3381E" w:rsidR="00986595" w:rsidRPr="00EE6C9F" w:rsidRDefault="00986595" w:rsidP="00986595">
      <w:pPr>
        <w:spacing w:after="60" w:line="288" w:lineRule="auto"/>
        <w:jc w:val="both"/>
        <w:rPr>
          <w:b/>
          <w:i/>
          <w:lang w:val="en-GB" w:eastAsia="ko-KR"/>
        </w:rPr>
      </w:pPr>
      <w:r w:rsidRPr="00EE6C9F">
        <w:rPr>
          <w:b/>
          <w:i/>
          <w:lang w:val="en-GB" w:eastAsia="ko-KR"/>
        </w:rPr>
        <w:t>Observation</w:t>
      </w:r>
      <w:r w:rsidR="006B3818">
        <w:rPr>
          <w:b/>
          <w:i/>
          <w:lang w:val="en-GB" w:eastAsia="ko-KR"/>
        </w:rPr>
        <w:t xml:space="preserve"> 1</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36A2457D" w14:textId="77777777" w:rsidR="00986595" w:rsidRDefault="00986595" w:rsidP="00986595">
      <w:pPr>
        <w:spacing w:after="60" w:line="288" w:lineRule="auto"/>
        <w:jc w:val="both"/>
        <w:rPr>
          <w:lang w:val="en-GB" w:eastAsia="ko-KR"/>
        </w:rPr>
      </w:pPr>
    </w:p>
    <w:p w14:paraId="0A509AA4" w14:textId="77777777" w:rsidR="00986595" w:rsidRDefault="00986595" w:rsidP="00986595">
      <w:pPr>
        <w:keepNext/>
        <w:spacing w:after="60" w:line="288" w:lineRule="auto"/>
        <w:jc w:val="center"/>
      </w:pPr>
      <w:r>
        <w:object w:dxaOrig="6516" w:dyaOrig="6864" w14:anchorId="1441A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pt;height:150.55pt" o:ole="">
            <v:imagedata r:id="rId8" o:title=""/>
          </v:shape>
          <o:OLEObject Type="Embed" ProgID="Visio.Drawing.15" ShapeID="_x0000_i1025" DrawAspect="Content" ObjectID="_1672252712" r:id="rId9"/>
        </w:object>
      </w:r>
    </w:p>
    <w:p w14:paraId="5149366E" w14:textId="023E7934" w:rsidR="00986595" w:rsidRDefault="00986595" w:rsidP="00986595">
      <w:pPr>
        <w:pStyle w:val="Caption"/>
        <w:spacing w:before="0" w:after="60" w:line="288" w:lineRule="auto"/>
        <w:jc w:val="center"/>
        <w:rPr>
          <w:lang w:eastAsia="ko-KR"/>
        </w:rPr>
      </w:pPr>
      <w:bookmarkStart w:id="4" w:name="_Ref61443320"/>
      <w:r>
        <w:t xml:space="preserve">Figure </w:t>
      </w:r>
      <w:r>
        <w:fldChar w:fldCharType="begin"/>
      </w:r>
      <w:r>
        <w:instrText xml:space="preserve"> SEQ Figure \* ARABIC </w:instrText>
      </w:r>
      <w:r>
        <w:fldChar w:fldCharType="separate"/>
      </w:r>
      <w:r w:rsidR="00BD368E">
        <w:rPr>
          <w:noProof/>
        </w:rPr>
        <w:t>1</w:t>
      </w:r>
      <w:r>
        <w:fldChar w:fldCharType="end"/>
      </w:r>
      <w:bookmarkEnd w:id="4"/>
      <w:r>
        <w:t>: Group-based beam indication for group-based mobility.</w:t>
      </w:r>
    </w:p>
    <w:p w14:paraId="00BA044A" w14:textId="77777777" w:rsidR="00986595" w:rsidRDefault="00986595" w:rsidP="00986595">
      <w:pPr>
        <w:spacing w:after="60" w:line="288" w:lineRule="auto"/>
        <w:rPr>
          <w:lang w:val="en-GB" w:eastAsia="ko-KR"/>
        </w:rPr>
      </w:pPr>
    </w:p>
    <w:p w14:paraId="7B4334B1" w14:textId="775FD599" w:rsidR="00986595" w:rsidRDefault="00986595" w:rsidP="00986595">
      <w:pPr>
        <w:pStyle w:val="ListParagraph"/>
        <w:numPr>
          <w:ilvl w:val="0"/>
          <w:numId w:val="17"/>
        </w:numPr>
        <w:spacing w:after="60" w:line="288" w:lineRule="auto"/>
        <w:jc w:val="both"/>
        <w:rPr>
          <w:lang w:val="en-GB" w:eastAsia="ko-KR"/>
        </w:rPr>
      </w:pPr>
      <w:r>
        <w:rPr>
          <w:lang w:val="en-GB" w:eastAsia="ko-KR"/>
        </w:rPr>
        <w:t xml:space="preserve">In the second example, </w:t>
      </w:r>
      <w:r w:rsidRPr="00EE6C9F">
        <w:rPr>
          <w:lang w:val="en-GB" w:eastAsia="ko-KR"/>
        </w:rPr>
        <w:t xml:space="preserve">the group of UEs </w:t>
      </w:r>
      <w:r>
        <w:rPr>
          <w:lang w:val="en-GB" w:eastAsia="ko-KR"/>
        </w:rPr>
        <w:t>is</w:t>
      </w:r>
      <w:r w:rsidRPr="00EE6C9F">
        <w:rPr>
          <w:lang w:val="en-GB" w:eastAsia="ko-KR"/>
        </w:rPr>
        <w:t xml:space="preserve"> located in close proximity of each other. This is illustrated in</w:t>
      </w:r>
      <w:r w:rsidR="000F608E">
        <w:rPr>
          <w:lang w:val="en-GB" w:eastAsia="ko-KR"/>
        </w:rPr>
        <w:t xml:space="preserve"> </w:t>
      </w:r>
      <w:r w:rsidR="000F608E">
        <w:rPr>
          <w:lang w:val="en-GB" w:eastAsia="ko-KR"/>
        </w:rPr>
        <w:fldChar w:fldCharType="begin"/>
      </w:r>
      <w:r w:rsidR="000F608E">
        <w:rPr>
          <w:lang w:val="en-GB" w:eastAsia="ko-KR"/>
        </w:rPr>
        <w:instrText xml:space="preserve"> REF _Ref61444491 \h </w:instrText>
      </w:r>
      <w:r w:rsidR="000F608E">
        <w:rPr>
          <w:lang w:val="en-GB" w:eastAsia="ko-KR"/>
        </w:rPr>
      </w:r>
      <w:r w:rsidR="000F608E">
        <w:rPr>
          <w:lang w:val="en-GB" w:eastAsia="ko-KR"/>
        </w:rPr>
        <w:fldChar w:fldCharType="separate"/>
      </w:r>
      <w:r w:rsidR="00BD368E">
        <w:t xml:space="preserve">Figure </w:t>
      </w:r>
      <w:r w:rsidR="00BD368E">
        <w:rPr>
          <w:noProof/>
        </w:rPr>
        <w:t>2</w:t>
      </w:r>
      <w:r w:rsidR="000F608E">
        <w:rPr>
          <w:lang w:val="en-GB" w:eastAsia="ko-KR"/>
        </w:rPr>
        <w:fldChar w:fldCharType="end"/>
      </w:r>
      <w:r>
        <w:rPr>
          <w:lang w:val="en-GB" w:eastAsia="ko-KR"/>
        </w:rPr>
        <w:t xml:space="preserve">, </w:t>
      </w:r>
      <w:r w:rsidRPr="00EE6C9F">
        <w:rPr>
          <w:lang w:val="en-GB" w:eastAsia="ko-KR"/>
        </w:rPr>
        <w:t>wherein narrow beams with high gains are dedicated to the group of UEs (e.g.</w:t>
      </w:r>
      <w:r>
        <w:rPr>
          <w:lang w:val="en-GB" w:eastAsia="ko-KR"/>
        </w:rPr>
        <w:t>,</w:t>
      </w:r>
      <w:r w:rsidRPr="00EE6C9F">
        <w:rPr>
          <w:lang w:val="en-GB" w:eastAsia="ko-KR"/>
        </w:rPr>
        <w:t xml:space="preserve"> one narrow beam per UE) for receiving data and </w:t>
      </w:r>
      <w:r>
        <w:rPr>
          <w:lang w:val="en-GB" w:eastAsia="ko-KR"/>
        </w:rPr>
        <w:t>increasing</w:t>
      </w:r>
      <w:r w:rsidRPr="00EE6C9F">
        <w:rPr>
          <w:lang w:val="en-GB" w:eastAsia="ko-KR"/>
        </w:rPr>
        <w:t xml:space="preserve"> system throughput.</w:t>
      </w:r>
      <w:r>
        <w:rPr>
          <w:lang w:val="en-GB" w:eastAsia="ko-KR"/>
        </w:rPr>
        <w:t xml:space="preserve"> A wide beam can be used for beam indication and can be common to a group of users in close proximity. </w:t>
      </w:r>
    </w:p>
    <w:p w14:paraId="5C4951C7" w14:textId="77777777" w:rsidR="00986595" w:rsidRDefault="00986595" w:rsidP="00986595">
      <w:pPr>
        <w:spacing w:after="60" w:line="288" w:lineRule="auto"/>
        <w:rPr>
          <w:lang w:val="en-GB" w:eastAsia="ko-KR"/>
        </w:rPr>
      </w:pPr>
    </w:p>
    <w:p w14:paraId="03D31ED5" w14:textId="77777777" w:rsidR="00986595" w:rsidRDefault="00986595" w:rsidP="00986595">
      <w:pPr>
        <w:keepNext/>
        <w:spacing w:after="60" w:line="288" w:lineRule="auto"/>
        <w:jc w:val="center"/>
      </w:pPr>
      <w:r>
        <w:object w:dxaOrig="3709" w:dyaOrig="2461" w14:anchorId="351EC7A6">
          <v:shape id="_x0000_i1026" type="#_x0000_t75" style="width:201.55pt;height:134.55pt" o:ole="">
            <v:imagedata r:id="rId10" o:title=""/>
          </v:shape>
          <o:OLEObject Type="Embed" ProgID="Visio.Drawing.15" ShapeID="_x0000_i1026" DrawAspect="Content" ObjectID="_1672252713" r:id="rId11"/>
        </w:object>
      </w:r>
    </w:p>
    <w:p w14:paraId="55527532" w14:textId="1B068906" w:rsidR="00986595" w:rsidRDefault="00986595" w:rsidP="00986595">
      <w:pPr>
        <w:pStyle w:val="Caption"/>
        <w:spacing w:before="0" w:after="60" w:line="288" w:lineRule="auto"/>
        <w:jc w:val="center"/>
      </w:pPr>
      <w:bookmarkStart w:id="5" w:name="_Ref61444491"/>
      <w:r>
        <w:t xml:space="preserve">Figure </w:t>
      </w:r>
      <w:r>
        <w:fldChar w:fldCharType="begin"/>
      </w:r>
      <w:r>
        <w:instrText xml:space="preserve"> SEQ Figure \* ARABIC </w:instrText>
      </w:r>
      <w:r>
        <w:fldChar w:fldCharType="separate"/>
      </w:r>
      <w:r w:rsidR="00BD368E">
        <w:rPr>
          <w:noProof/>
        </w:rPr>
        <w:t>2</w:t>
      </w:r>
      <w:r>
        <w:fldChar w:fldCharType="end"/>
      </w:r>
      <w:bookmarkEnd w:id="5"/>
      <w:r>
        <w:t>: UE group for UEs in close proximity with a UE-group wide beam for beam indication and UE-dedicated narrow beams for dedicated traffic.</w:t>
      </w:r>
    </w:p>
    <w:p w14:paraId="5766D242" w14:textId="77777777" w:rsidR="00986595" w:rsidRDefault="00986595" w:rsidP="00986595">
      <w:pPr>
        <w:spacing w:after="60" w:line="288" w:lineRule="auto"/>
        <w:jc w:val="center"/>
      </w:pPr>
    </w:p>
    <w:p w14:paraId="1E9D18AD" w14:textId="7A604195" w:rsidR="00986595" w:rsidRPr="00EE6C9F" w:rsidRDefault="00986595" w:rsidP="00986595">
      <w:pPr>
        <w:spacing w:after="60" w:line="288" w:lineRule="auto"/>
        <w:rPr>
          <w:b/>
          <w:i/>
          <w:lang w:val="en-GB" w:eastAsia="ko-KR"/>
        </w:rPr>
      </w:pPr>
      <w:r w:rsidRPr="00EE6C9F">
        <w:rPr>
          <w:b/>
          <w:i/>
          <w:lang w:val="en-GB" w:eastAsia="ko-KR"/>
        </w:rPr>
        <w:t>Observation</w:t>
      </w:r>
      <w:r>
        <w:rPr>
          <w:b/>
          <w:i/>
          <w:lang w:val="en-GB" w:eastAsia="ko-KR"/>
        </w:rPr>
        <w:t xml:space="preserve"> </w:t>
      </w:r>
      <w:r w:rsidR="000F608E">
        <w:rPr>
          <w:b/>
          <w:i/>
          <w:lang w:val="en-GB" w:eastAsia="ko-KR"/>
        </w:rPr>
        <w:t>2</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 xml:space="preserve"> </w:t>
      </w:r>
      <w:r w:rsidRPr="00EE6C9F">
        <w:rPr>
          <w:b/>
          <w:i/>
          <w:lang w:val="en-GB" w:eastAsia="ko-KR"/>
        </w:rPr>
        <w:t xml:space="preserve">beam indication can utilize a wider </w:t>
      </w:r>
      <w:r>
        <w:rPr>
          <w:b/>
          <w:i/>
          <w:lang w:val="en-GB" w:eastAsia="ko-KR"/>
        </w:rPr>
        <w:t xml:space="preserve">beam </w:t>
      </w:r>
      <w:r w:rsidRPr="00EE6C9F">
        <w:rPr>
          <w:b/>
          <w:i/>
          <w:lang w:val="en-GB" w:eastAsia="ko-KR"/>
        </w:rPr>
        <w:t>for beam indication to a group of UEs in close proximity.</w:t>
      </w:r>
    </w:p>
    <w:p w14:paraId="0BC87181" w14:textId="77777777" w:rsidR="00986595" w:rsidRPr="00EE6C9F" w:rsidRDefault="00986595" w:rsidP="00986595">
      <w:pPr>
        <w:spacing w:after="60" w:line="288" w:lineRule="auto"/>
        <w:rPr>
          <w:lang w:val="en-GB" w:eastAsia="ko-KR"/>
        </w:rPr>
      </w:pPr>
    </w:p>
    <w:p w14:paraId="23B70E5F" w14:textId="41B2B562" w:rsidR="00986595" w:rsidRDefault="00986595" w:rsidP="00986595">
      <w:pPr>
        <w:spacing w:after="60" w:line="288" w:lineRule="auto"/>
        <w:jc w:val="both"/>
      </w:pPr>
      <w:r>
        <w:t>When the gNB transmits a UE-group beam indication, it includes a TCI state update for each UE in the group as illustrated in</w:t>
      </w:r>
      <w:r w:rsidR="00264D30">
        <w:t xml:space="preserve"> </w:t>
      </w:r>
      <w:r w:rsidR="00D633AF">
        <w:fldChar w:fldCharType="begin"/>
      </w:r>
      <w:r w:rsidR="00D633AF">
        <w:instrText xml:space="preserve"> REF _Ref61445996 \h </w:instrText>
      </w:r>
      <w:r w:rsidR="00D633AF">
        <w:fldChar w:fldCharType="separate"/>
      </w:r>
      <w:r w:rsidR="00BD368E">
        <w:t xml:space="preserve">Figure </w:t>
      </w:r>
      <w:r w:rsidR="00BD368E">
        <w:rPr>
          <w:noProof/>
        </w:rPr>
        <w:t>3</w:t>
      </w:r>
      <w:r w:rsidR="00D633AF">
        <w:fldChar w:fldCharType="end"/>
      </w:r>
      <w:r>
        <w:t>. In general, however, not every UE in the group requires a TCI state update. This not only increases overhead, but also UE power consumption. One way to resolve this issue is by using a two-part beam indication (received in the same slot), as illustrated in</w:t>
      </w:r>
      <w:r w:rsidR="00C05B3D">
        <w:t xml:space="preserve"> </w:t>
      </w:r>
      <w:r w:rsidR="00C05B3D">
        <w:fldChar w:fldCharType="begin"/>
      </w:r>
      <w:r w:rsidR="00C05B3D">
        <w:instrText xml:space="preserve"> REF _Ref61445996 \h </w:instrText>
      </w:r>
      <w:r w:rsidR="00C05B3D">
        <w:fldChar w:fldCharType="separate"/>
      </w:r>
      <w:r w:rsidR="00BD368E">
        <w:t xml:space="preserve">Figure </w:t>
      </w:r>
      <w:r w:rsidR="00BD368E">
        <w:rPr>
          <w:noProof/>
        </w:rPr>
        <w:t>3</w:t>
      </w:r>
      <w:r w:rsidR="00C05B3D">
        <w:fldChar w:fldCharType="end"/>
      </w:r>
      <w:r>
        <w:t>, wherein</w:t>
      </w:r>
      <w:r w:rsidRPr="00554777">
        <w:t xml:space="preserve"> </w:t>
      </w:r>
      <w:r>
        <w:t>only the updated TCI states for  a subset of the UEs</w:t>
      </w:r>
      <w:r w:rsidRPr="000F7939">
        <w:t xml:space="preserve"> </w:t>
      </w:r>
      <w:r>
        <w:t>are signaled.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40AF284E" w14:textId="69389198" w:rsidR="00986595" w:rsidRPr="0028798D" w:rsidRDefault="00986595" w:rsidP="00986595">
      <w:pPr>
        <w:spacing w:after="60" w:line="288" w:lineRule="auto"/>
        <w:jc w:val="both"/>
        <w:rPr>
          <w:b/>
          <w:i/>
        </w:rPr>
      </w:pPr>
      <w:r w:rsidRPr="0028798D">
        <w:rPr>
          <w:b/>
          <w:i/>
        </w:rPr>
        <w:t>Observation</w:t>
      </w:r>
      <w:r>
        <w:rPr>
          <w:b/>
          <w:i/>
        </w:rPr>
        <w:t xml:space="preserve"> </w:t>
      </w:r>
      <w:r w:rsidR="000F608E">
        <w:rPr>
          <w:b/>
          <w:i/>
        </w:rPr>
        <w:t>3</w:t>
      </w:r>
      <w:r w:rsidRPr="0028798D">
        <w:rPr>
          <w:b/>
          <w:i/>
        </w:rPr>
        <w:t>: Two-</w:t>
      </w:r>
      <w:r>
        <w:rPr>
          <w:b/>
          <w:i/>
        </w:rPr>
        <w:t>part</w:t>
      </w:r>
      <w:r w:rsidRPr="0028798D">
        <w:rPr>
          <w:b/>
          <w:i/>
        </w:rPr>
        <w:t xml:space="preserve"> beam indication can reduce UEs decoding complexity and air interface overhead.</w:t>
      </w:r>
    </w:p>
    <w:p w14:paraId="1AAA115A" w14:textId="77777777" w:rsidR="00986595" w:rsidRPr="004A3971" w:rsidRDefault="00986595" w:rsidP="00986595">
      <w:pPr>
        <w:spacing w:after="60" w:line="288" w:lineRule="auto"/>
        <w:jc w:val="both"/>
        <w:rPr>
          <w:lang w:val="en-GB"/>
        </w:rPr>
      </w:pPr>
    </w:p>
    <w:p w14:paraId="09687B72" w14:textId="77777777" w:rsidR="00986595" w:rsidRDefault="00986595" w:rsidP="00986595">
      <w:pPr>
        <w:keepNext/>
        <w:spacing w:after="60" w:line="288" w:lineRule="auto"/>
        <w:jc w:val="center"/>
      </w:pPr>
      <w:r>
        <w:object w:dxaOrig="7470" w:dyaOrig="3000" w14:anchorId="78DE0943">
          <v:shape id="_x0000_i1027" type="#_x0000_t75" style="width:295.1pt;height:117.7pt" o:ole="">
            <v:imagedata r:id="rId12" o:title=""/>
          </v:shape>
          <o:OLEObject Type="Embed" ProgID="Visio.Drawing.15" ShapeID="_x0000_i1027" DrawAspect="Content" ObjectID="_1672252714" r:id="rId13"/>
        </w:object>
      </w:r>
    </w:p>
    <w:p w14:paraId="08547E6A" w14:textId="62E19919" w:rsidR="00986595" w:rsidRDefault="00986595" w:rsidP="00986595">
      <w:pPr>
        <w:pStyle w:val="Caption"/>
        <w:spacing w:before="0" w:after="60" w:line="288" w:lineRule="auto"/>
        <w:jc w:val="center"/>
      </w:pPr>
      <w:bookmarkStart w:id="6" w:name="_Ref61445996"/>
      <w:r>
        <w:t xml:space="preserve">Figure </w:t>
      </w:r>
      <w:r>
        <w:fldChar w:fldCharType="begin"/>
      </w:r>
      <w:r>
        <w:instrText xml:space="preserve"> SEQ Figure \* ARABIC </w:instrText>
      </w:r>
      <w:r>
        <w:fldChar w:fldCharType="separate"/>
      </w:r>
      <w:r w:rsidR="00BD368E">
        <w:rPr>
          <w:noProof/>
        </w:rPr>
        <w:t>3</w:t>
      </w:r>
      <w:r>
        <w:fldChar w:fldCharType="end"/>
      </w:r>
      <w:bookmarkEnd w:id="6"/>
      <w:r>
        <w:t xml:space="preserve">: </w:t>
      </w:r>
      <w:r w:rsidRPr="00022EBD">
        <w:t>Single- and two-</w:t>
      </w:r>
      <w:r>
        <w:t>part</w:t>
      </w:r>
      <w:r w:rsidRPr="00022EBD">
        <w:t xml:space="preserve"> beam indication.</w:t>
      </w:r>
    </w:p>
    <w:p w14:paraId="2C824C40" w14:textId="77777777" w:rsidR="00986595" w:rsidRDefault="00986595" w:rsidP="00986595">
      <w:pPr>
        <w:spacing w:after="60" w:line="288" w:lineRule="auto"/>
        <w:jc w:val="both"/>
        <w:rPr>
          <w:b/>
          <w:i/>
          <w:lang w:val="en-GB" w:eastAsia="ko-KR"/>
        </w:rPr>
      </w:pPr>
    </w:p>
    <w:p w14:paraId="1DB3FF61" w14:textId="7A35082D" w:rsidR="00986595" w:rsidRDefault="00986595" w:rsidP="00986595">
      <w:pPr>
        <w:spacing w:after="60" w:line="288" w:lineRule="auto"/>
        <w:jc w:val="both"/>
        <w:rPr>
          <w:b/>
          <w:i/>
          <w:lang w:val="en-GB" w:eastAsia="ko-KR"/>
        </w:rPr>
      </w:pPr>
      <w:r>
        <w:rPr>
          <w:b/>
          <w:i/>
          <w:lang w:val="en-GB" w:eastAsia="ko-KR"/>
        </w:rPr>
        <w:t xml:space="preserve">Proposal </w:t>
      </w:r>
      <w:r w:rsidR="00D633AF">
        <w:rPr>
          <w:b/>
          <w:i/>
          <w:lang w:val="en-GB" w:eastAsia="ko-KR"/>
        </w:rPr>
        <w:t>1</w:t>
      </w:r>
      <w:r>
        <w:rPr>
          <w:b/>
          <w:i/>
          <w:lang w:val="en-GB" w:eastAsia="ko-KR"/>
        </w:rPr>
        <w:t xml:space="preserve">: For better efficiency, </w:t>
      </w:r>
      <w:r w:rsidR="00D633AF">
        <w:rPr>
          <w:b/>
          <w:i/>
          <w:lang w:val="en-GB" w:eastAsia="ko-KR"/>
        </w:rPr>
        <w:t xml:space="preserve">study the </w:t>
      </w:r>
      <w:r>
        <w:rPr>
          <w:b/>
          <w:i/>
          <w:lang w:val="en-GB" w:eastAsia="ko-KR"/>
        </w:rPr>
        <w:t xml:space="preserve">support </w:t>
      </w:r>
      <w:r w:rsidR="00D633AF">
        <w:rPr>
          <w:b/>
          <w:i/>
          <w:lang w:val="en-GB" w:eastAsia="ko-KR"/>
        </w:rPr>
        <w:t xml:space="preserve">of </w:t>
      </w:r>
      <w:r>
        <w:rPr>
          <w:b/>
          <w:i/>
          <w:lang w:val="en-GB" w:eastAsia="ko-KR"/>
        </w:rPr>
        <w:t>UE-group DCI for TCI state indication. Where the DCI format includes TCI states for a group of UEs.</w:t>
      </w:r>
    </w:p>
    <w:p w14:paraId="32ADA890" w14:textId="77777777" w:rsidR="00986595" w:rsidRPr="00986595" w:rsidRDefault="00986595" w:rsidP="00986595">
      <w:pPr>
        <w:rPr>
          <w:lang w:val="en-GB" w:eastAsia="ko-KR"/>
        </w:rPr>
      </w:pPr>
    </w:p>
    <w:p w14:paraId="1AE9C678" w14:textId="72DF133E" w:rsidR="00907F23" w:rsidRPr="00907F23" w:rsidRDefault="00907F23" w:rsidP="00907F23">
      <w:pPr>
        <w:pStyle w:val="Heading1"/>
        <w:rPr>
          <w:lang w:eastAsia="ko-KR"/>
        </w:rPr>
      </w:pPr>
      <w:r w:rsidRPr="00907F23">
        <w:rPr>
          <w:lang w:eastAsia="ko-KR"/>
        </w:rPr>
        <w:t xml:space="preserve">Beam Acquisition During Initial Access (RACH Procedure) </w:t>
      </w:r>
    </w:p>
    <w:p w14:paraId="01BA4155" w14:textId="6A117908" w:rsidR="001A390B" w:rsidRDefault="001A390B" w:rsidP="001A390B">
      <w:pPr>
        <w:spacing w:after="60" w:line="288" w:lineRule="auto"/>
        <w:jc w:val="both"/>
        <w:rPr>
          <w:lang w:eastAsia="ko-KR"/>
        </w:rPr>
      </w:pPr>
      <w:r>
        <w:rPr>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6169070F" w14:textId="77777777" w:rsidR="001A390B" w:rsidRDefault="001A390B" w:rsidP="000B3780">
      <w:pPr>
        <w:pStyle w:val="ListParagraph"/>
        <w:numPr>
          <w:ilvl w:val="0"/>
          <w:numId w:val="18"/>
        </w:numPr>
        <w:spacing w:after="60" w:line="288" w:lineRule="auto"/>
        <w:jc w:val="both"/>
        <w:rPr>
          <w:lang w:eastAsia="ko-KR"/>
        </w:rPr>
      </w:pPr>
      <w:r>
        <w:rPr>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1540B899" w14:textId="77777777" w:rsidR="001A390B" w:rsidRDefault="001A390B" w:rsidP="000B3780">
      <w:pPr>
        <w:pStyle w:val="ListParagraph"/>
        <w:numPr>
          <w:ilvl w:val="0"/>
          <w:numId w:val="18"/>
        </w:numPr>
        <w:spacing w:after="60" w:line="288" w:lineRule="auto"/>
        <w:jc w:val="both"/>
        <w:rPr>
          <w:lang w:eastAsia="ko-KR"/>
        </w:rPr>
      </w:pPr>
      <w:r>
        <w:rPr>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6EF69082" w14:textId="77777777" w:rsidR="001A390B" w:rsidRDefault="001A390B" w:rsidP="001A390B">
      <w:pPr>
        <w:spacing w:after="60" w:line="288" w:lineRule="auto"/>
        <w:jc w:val="both"/>
        <w:rPr>
          <w:lang w:eastAsia="ko-KR"/>
        </w:rPr>
      </w:pPr>
    </w:p>
    <w:p w14:paraId="0412BDA5" w14:textId="2E359E0B" w:rsidR="001A390B" w:rsidRPr="00C21337" w:rsidRDefault="00124622" w:rsidP="001A390B">
      <w:pPr>
        <w:spacing w:after="60" w:line="288" w:lineRule="auto"/>
        <w:jc w:val="both"/>
        <w:rPr>
          <w:b/>
          <w:i/>
          <w:iCs/>
          <w:color w:val="000000" w:themeColor="text1"/>
        </w:rPr>
      </w:pPr>
      <w:r>
        <w:rPr>
          <w:b/>
          <w:i/>
          <w:iCs/>
        </w:rPr>
        <w:t xml:space="preserve">Proposal </w:t>
      </w:r>
      <w:r w:rsidR="00D633AF">
        <w:rPr>
          <w:b/>
          <w:i/>
          <w:iCs/>
        </w:rPr>
        <w:t>2</w:t>
      </w:r>
      <w:r w:rsidR="001A390B" w:rsidRPr="00A55EBD">
        <w:rPr>
          <w:b/>
          <w:i/>
          <w:iCs/>
        </w:rPr>
        <w:t xml:space="preserve">: </w:t>
      </w:r>
      <w:r w:rsidR="00D633AF">
        <w:rPr>
          <w:b/>
          <w:i/>
          <w:iCs/>
        </w:rPr>
        <w:t>Study</w:t>
      </w:r>
      <w:r w:rsidR="00912137" w:rsidRPr="00A55EBD">
        <w:rPr>
          <w:b/>
          <w:i/>
          <w:iCs/>
        </w:rPr>
        <w:t xml:space="preserve"> </w:t>
      </w:r>
      <w:r w:rsidR="001A390B" w:rsidRPr="00A55EBD">
        <w:rPr>
          <w:b/>
          <w:i/>
          <w:iCs/>
        </w:rPr>
        <w:t xml:space="preserve">mechanisms to improve </w:t>
      </w:r>
      <w:r w:rsidR="001A390B">
        <w:rPr>
          <w:b/>
          <w:i/>
          <w:iCs/>
        </w:rPr>
        <w:t>beam management during initial access.</w:t>
      </w:r>
    </w:p>
    <w:p w14:paraId="65E89656" w14:textId="73A5F061" w:rsidR="00D617B2" w:rsidRPr="00DA4791" w:rsidRDefault="00D617B2" w:rsidP="00DA4791">
      <w:pPr>
        <w:spacing w:after="60" w:line="288" w:lineRule="auto"/>
        <w:jc w:val="both"/>
        <w:rPr>
          <w:b/>
          <w:i/>
          <w:lang w:val="en-GB" w:eastAsia="ko-KR"/>
        </w:rPr>
      </w:pPr>
    </w:p>
    <w:p w14:paraId="18DE3911" w14:textId="73F8CA6F" w:rsidR="00AF6063" w:rsidRDefault="00907F23" w:rsidP="00E87A2D">
      <w:pPr>
        <w:pStyle w:val="Heading1"/>
        <w:rPr>
          <w:lang w:eastAsia="ko-KR"/>
        </w:rPr>
      </w:pPr>
      <w:r>
        <w:rPr>
          <w:lang w:eastAsia="ko-KR"/>
        </w:rPr>
        <w:t xml:space="preserve">Positioning-Assisted </w:t>
      </w:r>
      <w:r w:rsidR="003E5679">
        <w:rPr>
          <w:lang w:eastAsia="ko-KR"/>
        </w:rPr>
        <w:t xml:space="preserve">Predictive </w:t>
      </w:r>
      <w:r>
        <w:rPr>
          <w:lang w:eastAsia="ko-KR"/>
        </w:rPr>
        <w:t>Beam Management</w:t>
      </w:r>
      <w:r w:rsidR="00AD5BFB">
        <w:rPr>
          <w:lang w:eastAsia="ko-KR"/>
        </w:rPr>
        <w:t xml:space="preserve"> </w:t>
      </w:r>
    </w:p>
    <w:p w14:paraId="6D83A0C5" w14:textId="600E9F2F" w:rsidR="006A64EC" w:rsidRDefault="006A64EC" w:rsidP="003F5C5D">
      <w:pPr>
        <w:spacing w:after="60" w:line="288" w:lineRule="auto"/>
        <w:jc w:val="both"/>
        <w:rPr>
          <w:iCs/>
        </w:rPr>
      </w:pPr>
      <w:r>
        <w:rPr>
          <w:iCs/>
        </w:rPr>
        <w:t xml:space="preserve">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w:t>
      </w:r>
      <w:r w:rsidR="00AF3A4E">
        <w:rPr>
          <w:iCs/>
        </w:rPr>
        <w:t>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BFDB960" w14:textId="2477B5AD" w:rsidR="00AF3A4E" w:rsidRDefault="00AF3A4E" w:rsidP="00AF3A4E">
      <w:pPr>
        <w:pStyle w:val="ListParagraph"/>
        <w:numPr>
          <w:ilvl w:val="0"/>
          <w:numId w:val="40"/>
        </w:numPr>
        <w:spacing w:after="60" w:line="288" w:lineRule="auto"/>
        <w:jc w:val="both"/>
        <w:rPr>
          <w:iCs/>
        </w:rPr>
      </w:pPr>
      <w:r>
        <w:rPr>
          <w:iCs/>
        </w:rPr>
        <w:t>Detection that a new multi-path profile can provide better performance than the existing multi-path profile.</w:t>
      </w:r>
    </w:p>
    <w:p w14:paraId="1F817089" w14:textId="701B0636" w:rsidR="00AF3A4E" w:rsidRDefault="00AF3A4E" w:rsidP="00AF3A4E">
      <w:pPr>
        <w:pStyle w:val="ListParagraph"/>
        <w:numPr>
          <w:ilvl w:val="0"/>
          <w:numId w:val="40"/>
        </w:numPr>
        <w:spacing w:after="60" w:line="288" w:lineRule="auto"/>
        <w:jc w:val="both"/>
        <w:rPr>
          <w:iCs/>
        </w:rPr>
      </w:pPr>
      <w:r>
        <w:rPr>
          <w:iCs/>
        </w:rPr>
        <w:t>Trigger and transmission of the reference signal for beam measurement.</w:t>
      </w:r>
    </w:p>
    <w:p w14:paraId="57CA32C9" w14:textId="4D66249C" w:rsidR="00AF3A4E" w:rsidRDefault="00AF3A4E" w:rsidP="00AF3A4E">
      <w:pPr>
        <w:pStyle w:val="ListParagraph"/>
        <w:numPr>
          <w:ilvl w:val="0"/>
          <w:numId w:val="40"/>
        </w:numPr>
        <w:spacing w:after="60" w:line="288" w:lineRule="auto"/>
        <w:jc w:val="both"/>
        <w:rPr>
          <w:iCs/>
        </w:rPr>
      </w:pPr>
      <w:r>
        <w:rPr>
          <w:iCs/>
        </w:rPr>
        <w:t>Measurement and reporting by the UE of beam metrics.</w:t>
      </w:r>
    </w:p>
    <w:p w14:paraId="348D70B4" w14:textId="09AAF00B" w:rsidR="00AF3A4E" w:rsidRPr="00AF3A4E" w:rsidRDefault="00AF3A4E" w:rsidP="00AF3A4E">
      <w:pPr>
        <w:pStyle w:val="ListParagraph"/>
        <w:numPr>
          <w:ilvl w:val="0"/>
          <w:numId w:val="40"/>
        </w:numPr>
        <w:spacing w:after="60" w:line="288" w:lineRule="auto"/>
        <w:jc w:val="both"/>
        <w:rPr>
          <w:iCs/>
        </w:rPr>
      </w:pPr>
      <w:r>
        <w:rPr>
          <w:iCs/>
        </w:rPr>
        <w:lastRenderedPageBreak/>
        <w:t>Indication by the network of a new beam metric.</w:t>
      </w:r>
    </w:p>
    <w:p w14:paraId="79B9C884" w14:textId="1AA2E270" w:rsidR="00AF3A4E" w:rsidRDefault="00AF3A4E" w:rsidP="003F5C5D">
      <w:pPr>
        <w:spacing w:after="60" w:line="288" w:lineRule="auto"/>
        <w:jc w:val="both"/>
        <w:rPr>
          <w:iCs/>
        </w:rPr>
      </w:pPr>
    </w:p>
    <w:p w14:paraId="75D5A692" w14:textId="1596A47E" w:rsidR="00AF3A4E" w:rsidRDefault="00AF3A4E" w:rsidP="003F5C5D">
      <w:pPr>
        <w:spacing w:after="60" w:line="288" w:lineRule="auto"/>
        <w:jc w:val="both"/>
        <w:rPr>
          <w:iCs/>
        </w:rPr>
      </w:pPr>
      <w:r>
        <w:rPr>
          <w:iCs/>
        </w:rPr>
        <w:t>In a high-speed scenario, the time between the appearance of a new multi-path profile and its usage for communication can be large compared with the total lifetime of the multi-path profile.</w:t>
      </w:r>
    </w:p>
    <w:p w14:paraId="4F313FA7" w14:textId="6A91C177" w:rsidR="00AF3A4E" w:rsidRPr="00A2536D" w:rsidRDefault="00A2536D" w:rsidP="003F5C5D">
      <w:pPr>
        <w:spacing w:after="60" w:line="288" w:lineRule="auto"/>
        <w:jc w:val="both"/>
        <w:rPr>
          <w:b/>
          <w:i/>
          <w:iCs/>
        </w:rPr>
      </w:pPr>
      <w:r w:rsidRPr="00A2536D">
        <w:rPr>
          <w:b/>
          <w:i/>
          <w:iCs/>
        </w:rPr>
        <w:t xml:space="preserve">Observation 4: </w:t>
      </w:r>
      <w:r w:rsidR="00AF3A4E" w:rsidRPr="00A2536D">
        <w:rPr>
          <w:b/>
          <w:i/>
          <w:iCs/>
        </w:rPr>
        <w:t>The traditional beam management procedure of triggering a reference signal, measuring and reporting the beam metrics</w:t>
      </w:r>
      <w:r w:rsidRPr="00A2536D">
        <w:rPr>
          <w:b/>
          <w:i/>
          <w:iCs/>
        </w:rPr>
        <w:t xml:space="preserve"> based on the reference signal</w:t>
      </w:r>
      <w:r w:rsidR="00AF3A4E" w:rsidRPr="00A2536D">
        <w:rPr>
          <w:b/>
          <w:i/>
          <w:iCs/>
        </w:rPr>
        <w:t xml:space="preserve"> and beam indication based on the </w:t>
      </w:r>
      <w:r w:rsidRPr="00A2536D">
        <w:rPr>
          <w:b/>
          <w:i/>
          <w:iCs/>
        </w:rPr>
        <w:t>measurements</w:t>
      </w:r>
      <w:r w:rsidR="00AF3A4E" w:rsidRPr="00A2536D">
        <w:rPr>
          <w:b/>
          <w:i/>
          <w:iCs/>
        </w:rPr>
        <w:t xml:space="preserve">, </w:t>
      </w:r>
      <w:r w:rsidRPr="00A2536D">
        <w:rPr>
          <w:b/>
          <w:i/>
          <w:iCs/>
        </w:rPr>
        <w:t>can be a slow procedure in high speed scenarios, thus degrading performance.</w:t>
      </w:r>
    </w:p>
    <w:p w14:paraId="0BFA992F" w14:textId="05D26A55" w:rsidR="00AF3A4E" w:rsidRDefault="00AF3A4E" w:rsidP="003F5C5D">
      <w:pPr>
        <w:spacing w:after="60" w:line="288" w:lineRule="auto"/>
        <w:jc w:val="both"/>
        <w:rPr>
          <w:iCs/>
        </w:rPr>
      </w:pPr>
    </w:p>
    <w:p w14:paraId="7445E0F8" w14:textId="7113BF9A" w:rsidR="00A2536D" w:rsidRDefault="00A2536D" w:rsidP="003F5C5D">
      <w:pPr>
        <w:spacing w:after="60" w:line="288" w:lineRule="auto"/>
        <w:jc w:val="both"/>
        <w:rPr>
          <w:iCs/>
        </w:rPr>
      </w:pPr>
      <w:r>
        <w:rPr>
          <w:iCs/>
        </w:rPr>
        <w:t>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signaled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signaling each TCI state individually, thus reducing signaling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1DAA6C49" w14:textId="47BAB273" w:rsidR="00A2536D" w:rsidRDefault="00A2536D" w:rsidP="003F5C5D">
      <w:pPr>
        <w:spacing w:after="60" w:line="288" w:lineRule="auto"/>
        <w:jc w:val="both"/>
        <w:rPr>
          <w:iCs/>
        </w:rPr>
      </w:pPr>
    </w:p>
    <w:p w14:paraId="605CCDC7" w14:textId="72CE6DA4" w:rsidR="00A2536D" w:rsidRPr="004A6744" w:rsidRDefault="00A2536D" w:rsidP="003F5C5D">
      <w:pPr>
        <w:spacing w:after="60" w:line="288" w:lineRule="auto"/>
        <w:jc w:val="both"/>
        <w:rPr>
          <w:b/>
          <w:i/>
          <w:iCs/>
        </w:rPr>
      </w:pPr>
      <w:r w:rsidRPr="004A6744">
        <w:rPr>
          <w:b/>
          <w:i/>
          <w:iCs/>
        </w:rPr>
        <w:t>Observation 5: For UEs moving along a known trajectory, network can be predicate future multi-path profiles and signal</w:t>
      </w:r>
      <w:r w:rsidR="004A6744">
        <w:rPr>
          <w:b/>
          <w:i/>
          <w:iCs/>
        </w:rPr>
        <w:t xml:space="preserve"> the corresponding TCI</w:t>
      </w:r>
      <w:r w:rsidR="00BD368E">
        <w:rPr>
          <w:b/>
          <w:i/>
          <w:iCs/>
        </w:rPr>
        <w:t xml:space="preserve"> state</w:t>
      </w:r>
      <w:r w:rsidR="004A6744">
        <w:rPr>
          <w:b/>
          <w:i/>
          <w:iCs/>
        </w:rPr>
        <w:t>s ahead of</w:t>
      </w:r>
      <w:r w:rsidRPr="004A6744">
        <w:rPr>
          <w:b/>
          <w:i/>
          <w:iCs/>
        </w:rPr>
        <w:t xml:space="preserve"> time with an activation time. </w:t>
      </w:r>
      <w:r w:rsidR="004A6744" w:rsidRPr="004A6744">
        <w:rPr>
          <w:b/>
          <w:i/>
          <w:iCs/>
        </w:rPr>
        <w:t>This reduces latency to switch to a new beam, and reduces beam indication overhead by signaling multiple TCI states in the same message.</w:t>
      </w:r>
    </w:p>
    <w:p w14:paraId="1B113A60" w14:textId="77777777" w:rsidR="00A2536D" w:rsidRDefault="00A2536D" w:rsidP="003F5C5D">
      <w:pPr>
        <w:spacing w:after="60" w:line="288" w:lineRule="auto"/>
        <w:jc w:val="both"/>
        <w:rPr>
          <w:iCs/>
        </w:rPr>
      </w:pPr>
    </w:p>
    <w:p w14:paraId="4F622220" w14:textId="3D97C100" w:rsidR="0086527B" w:rsidRDefault="009C4BA8" w:rsidP="003F5C5D">
      <w:pPr>
        <w:spacing w:after="60" w:line="288" w:lineRule="auto"/>
        <w:jc w:val="both"/>
        <w:rPr>
          <w:iCs/>
        </w:rPr>
      </w:pPr>
      <w:r>
        <w:rPr>
          <w:iCs/>
        </w:rPr>
        <w:t xml:space="preserve">Positioning information can </w:t>
      </w:r>
      <w:r w:rsidR="004A6744">
        <w:rPr>
          <w:iCs/>
        </w:rPr>
        <w:t xml:space="preserve">further </w:t>
      </w:r>
      <w:r>
        <w:rPr>
          <w:iCs/>
        </w:rPr>
        <w:t xml:space="preserve">assist with beam management. UEs travelling through the same point in space are expected to see the same multi-path profile, especially if the UEs are traveling through the same spatial point in close time proximity. </w:t>
      </w:r>
      <w:r w:rsidR="006A64EC">
        <w:rPr>
          <w:iCs/>
        </w:rPr>
        <w:t>For example, i</w:t>
      </w:r>
      <w:r>
        <w:rPr>
          <w:iCs/>
        </w:rPr>
        <w:t xml:space="preserve">n </w:t>
      </w:r>
      <w:r>
        <w:rPr>
          <w:iCs/>
        </w:rPr>
        <w:fldChar w:fldCharType="begin"/>
      </w:r>
      <w:r>
        <w:rPr>
          <w:iCs/>
        </w:rPr>
        <w:instrText xml:space="preserve"> REF _Ref61447365 \h </w:instrText>
      </w:r>
      <w:r>
        <w:rPr>
          <w:iCs/>
        </w:rPr>
      </w:r>
      <w:r>
        <w:rPr>
          <w:iCs/>
        </w:rPr>
        <w:fldChar w:fldCharType="separate"/>
      </w:r>
      <w:r w:rsidR="00BD368E">
        <w:t xml:space="preserve">Figure </w:t>
      </w:r>
      <w:r w:rsidR="00BD368E">
        <w:rPr>
          <w:noProof/>
        </w:rPr>
        <w:t>4</w:t>
      </w:r>
      <w:r>
        <w:rPr>
          <w:iCs/>
        </w:rPr>
        <w:fldChar w:fldCharType="end"/>
      </w:r>
      <w:r>
        <w:rPr>
          <w:iCs/>
        </w:rPr>
        <w:t xml:space="preserve">, UE1 passes through point A. </w:t>
      </w:r>
      <w:r w:rsidR="006A64EC">
        <w:rPr>
          <w:iCs/>
        </w:rPr>
        <w:t xml:space="preserve">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6A64EC">
        <w:rPr>
          <w:iCs/>
        </w:rPr>
        <w:t xml:space="preserve">. The network can provide a TCI state corresponding to the multi-path profile (based on UE1’s measurement at point A), to UE2 to be activated at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6A64EC">
        <w:rPr>
          <w:iCs/>
        </w:rPr>
        <w:t>.</w:t>
      </w:r>
    </w:p>
    <w:p w14:paraId="483FE285" w14:textId="77777777" w:rsidR="009C4BA8" w:rsidRDefault="003E5679" w:rsidP="009C4BA8">
      <w:pPr>
        <w:keepNext/>
        <w:spacing w:after="60" w:line="288" w:lineRule="auto"/>
        <w:jc w:val="center"/>
      </w:pPr>
      <w:r>
        <w:object w:dxaOrig="5196" w:dyaOrig="3204" w14:anchorId="514C9352">
          <v:shape id="_x0000_i1028" type="#_x0000_t75" style="width:333.2pt;height:205.25pt" o:ole="">
            <v:imagedata r:id="rId14" o:title=""/>
          </v:shape>
          <o:OLEObject Type="Embed" ProgID="Visio.Drawing.15" ShapeID="_x0000_i1028" DrawAspect="Content" ObjectID="_1672252715" r:id="rId15"/>
        </w:object>
      </w:r>
    </w:p>
    <w:p w14:paraId="45D91471" w14:textId="7DD74606" w:rsidR="003E5679" w:rsidRDefault="009C4BA8" w:rsidP="009C4BA8">
      <w:pPr>
        <w:pStyle w:val="Caption"/>
        <w:jc w:val="center"/>
        <w:rPr>
          <w:iCs/>
        </w:rPr>
      </w:pPr>
      <w:bookmarkStart w:id="7" w:name="_Ref61447365"/>
      <w:r>
        <w:t xml:space="preserve">Figure </w:t>
      </w:r>
      <w:r>
        <w:fldChar w:fldCharType="begin"/>
      </w:r>
      <w:r>
        <w:instrText xml:space="preserve"> SEQ Figure \* ARABIC </w:instrText>
      </w:r>
      <w:r>
        <w:fldChar w:fldCharType="separate"/>
      </w:r>
      <w:r w:rsidR="00BD368E">
        <w:rPr>
          <w:noProof/>
        </w:rPr>
        <w:t>4</w:t>
      </w:r>
      <w:r>
        <w:fldChar w:fldCharType="end"/>
      </w:r>
      <w:bookmarkEnd w:id="7"/>
      <w:r>
        <w:t>: Positioning-Based beam management.</w:t>
      </w:r>
    </w:p>
    <w:p w14:paraId="6DFA9725" w14:textId="47356E23" w:rsidR="003E5679" w:rsidRDefault="003E5679" w:rsidP="003F5C5D">
      <w:pPr>
        <w:spacing w:after="60" w:line="288" w:lineRule="auto"/>
        <w:jc w:val="both"/>
        <w:rPr>
          <w:iCs/>
        </w:rPr>
      </w:pPr>
    </w:p>
    <w:p w14:paraId="67CF209C" w14:textId="2CE28F03" w:rsidR="004A6744" w:rsidRPr="004A6744" w:rsidRDefault="004A6744" w:rsidP="003F5C5D">
      <w:pPr>
        <w:spacing w:after="60" w:line="288" w:lineRule="auto"/>
        <w:jc w:val="both"/>
        <w:rPr>
          <w:b/>
          <w:i/>
          <w:iCs/>
        </w:rPr>
      </w:pPr>
      <w:r w:rsidRPr="004A6744">
        <w:rPr>
          <w:b/>
          <w:i/>
          <w:iCs/>
        </w:rPr>
        <w:t>Observation 6: Positioning information, can assist the network</w:t>
      </w:r>
      <w:r w:rsidR="00BD368E">
        <w:rPr>
          <w:b/>
          <w:i/>
          <w:iCs/>
        </w:rPr>
        <w:t xml:space="preserve"> in</w:t>
      </w:r>
      <w:r w:rsidRPr="004A6744">
        <w:rPr>
          <w:b/>
          <w:i/>
          <w:iCs/>
        </w:rPr>
        <w:t xml:space="preserve"> build</w:t>
      </w:r>
      <w:r w:rsidR="00BD368E">
        <w:rPr>
          <w:b/>
          <w:i/>
          <w:iCs/>
        </w:rPr>
        <w:t>ing</w:t>
      </w:r>
      <w:r w:rsidRPr="004A6744">
        <w:rPr>
          <w:b/>
          <w:i/>
          <w:iCs/>
        </w:rPr>
        <w:t xml:space="preserve"> a multi-path profile map of the coverage area that assists in determining the TCI states of UEs passing through a spatial point.</w:t>
      </w:r>
    </w:p>
    <w:p w14:paraId="0D8FCD69" w14:textId="5AE62859" w:rsidR="00A33DCC" w:rsidRPr="000F469C" w:rsidRDefault="00F7749F" w:rsidP="00945BED">
      <w:pPr>
        <w:spacing w:after="60" w:line="288" w:lineRule="auto"/>
        <w:jc w:val="both"/>
        <w:rPr>
          <w:lang w:eastAsia="ko-KR"/>
        </w:rPr>
      </w:pPr>
      <w:r>
        <w:rPr>
          <w:b/>
          <w:i/>
          <w:iCs/>
        </w:rPr>
        <w:lastRenderedPageBreak/>
        <w:t>Proposal 3</w:t>
      </w:r>
      <w:r w:rsidRPr="00A55EBD">
        <w:rPr>
          <w:b/>
          <w:i/>
          <w:iCs/>
        </w:rPr>
        <w:t xml:space="preserve">: </w:t>
      </w:r>
      <w:r>
        <w:rPr>
          <w:b/>
          <w:i/>
          <w:iCs/>
        </w:rPr>
        <w:t>Study</w:t>
      </w:r>
      <w:r w:rsidRPr="00A55EBD">
        <w:rPr>
          <w:b/>
          <w:i/>
          <w:iCs/>
        </w:rPr>
        <w:t xml:space="preserve"> mechanisms </w:t>
      </w:r>
      <w:r>
        <w:rPr>
          <w:b/>
          <w:i/>
          <w:iCs/>
        </w:rPr>
        <w:t>study predictive and positioning-assisted beam management</w:t>
      </w:r>
      <w:r w:rsidR="004A6744">
        <w:rPr>
          <w:b/>
          <w:i/>
          <w:iCs/>
        </w:rPr>
        <w:t xml:space="preserve"> schemes.</w:t>
      </w: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48D94B4E" w14:textId="2337EF1F" w:rsidR="00C174C0" w:rsidRPr="004A6744" w:rsidRDefault="00C174C0" w:rsidP="00C174C0">
      <w:pPr>
        <w:spacing w:after="60" w:line="288" w:lineRule="auto"/>
        <w:jc w:val="both"/>
        <w:rPr>
          <w:lang w:eastAsia="ko-KR"/>
        </w:rPr>
      </w:pPr>
      <w:r w:rsidRPr="004A6744">
        <w:rPr>
          <w:lang w:eastAsia="ko-KR"/>
        </w:rPr>
        <w:t xml:space="preserve">The following observations and proposals have been made regarding </w:t>
      </w:r>
      <w:r w:rsidR="00907F23" w:rsidRPr="004A6744">
        <w:rPr>
          <w:lang w:eastAsia="ko-KR"/>
        </w:rPr>
        <w:t>additional enhancements to multi-beam operation</w:t>
      </w:r>
      <w:r w:rsidRPr="004A6744">
        <w:rPr>
          <w:lang w:eastAsia="ko-KR"/>
        </w:rPr>
        <w:t>:</w:t>
      </w:r>
    </w:p>
    <w:p w14:paraId="00B55C55" w14:textId="77777777" w:rsidR="00BD368E" w:rsidRPr="00EE6C9F" w:rsidRDefault="00BD368E" w:rsidP="00BD368E">
      <w:pPr>
        <w:spacing w:after="60" w:line="288" w:lineRule="auto"/>
        <w:jc w:val="both"/>
        <w:rPr>
          <w:b/>
          <w:i/>
          <w:lang w:val="en-GB" w:eastAsia="ko-KR"/>
        </w:rPr>
      </w:pPr>
      <w:r w:rsidRPr="00EE6C9F">
        <w:rPr>
          <w:b/>
          <w:i/>
          <w:lang w:val="en-GB" w:eastAsia="ko-KR"/>
        </w:rPr>
        <w:t>Observation</w:t>
      </w:r>
      <w:r>
        <w:rPr>
          <w:b/>
          <w:i/>
          <w:lang w:val="en-GB" w:eastAsia="ko-KR"/>
        </w:rPr>
        <w:t xml:space="preserve"> 1</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184E03BA" w14:textId="77777777" w:rsidR="00BD368E" w:rsidRPr="00EE6C9F" w:rsidRDefault="00BD368E" w:rsidP="00BD368E">
      <w:pPr>
        <w:spacing w:after="60" w:line="288" w:lineRule="auto"/>
        <w:rPr>
          <w:b/>
          <w:i/>
          <w:lang w:val="en-GB" w:eastAsia="ko-KR"/>
        </w:rPr>
      </w:pPr>
      <w:r w:rsidRPr="00EE6C9F">
        <w:rPr>
          <w:b/>
          <w:i/>
          <w:lang w:val="en-GB" w:eastAsia="ko-KR"/>
        </w:rPr>
        <w:t>Observation</w:t>
      </w:r>
      <w:r>
        <w:rPr>
          <w:b/>
          <w:i/>
          <w:lang w:val="en-GB" w:eastAsia="ko-KR"/>
        </w:rPr>
        <w:t xml:space="preserve"> 2</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 xml:space="preserve"> </w:t>
      </w:r>
      <w:r w:rsidRPr="00EE6C9F">
        <w:rPr>
          <w:b/>
          <w:i/>
          <w:lang w:val="en-GB" w:eastAsia="ko-KR"/>
        </w:rPr>
        <w:t xml:space="preserve">beam indication can utilize a wider </w:t>
      </w:r>
      <w:r>
        <w:rPr>
          <w:b/>
          <w:i/>
          <w:lang w:val="en-GB" w:eastAsia="ko-KR"/>
        </w:rPr>
        <w:t xml:space="preserve">beam </w:t>
      </w:r>
      <w:r w:rsidRPr="00EE6C9F">
        <w:rPr>
          <w:b/>
          <w:i/>
          <w:lang w:val="en-GB" w:eastAsia="ko-KR"/>
        </w:rPr>
        <w:t>for beam indication to a group of UEs in close proximity.</w:t>
      </w:r>
    </w:p>
    <w:p w14:paraId="1384823C" w14:textId="77777777" w:rsidR="00BD368E" w:rsidRPr="0028798D" w:rsidRDefault="00BD368E" w:rsidP="00BD368E">
      <w:pPr>
        <w:spacing w:after="60" w:line="288" w:lineRule="auto"/>
        <w:jc w:val="both"/>
        <w:rPr>
          <w:b/>
          <w:i/>
        </w:rPr>
      </w:pPr>
      <w:r w:rsidRPr="0028798D">
        <w:rPr>
          <w:b/>
          <w:i/>
        </w:rPr>
        <w:t>Observation</w:t>
      </w:r>
      <w:r>
        <w:rPr>
          <w:b/>
          <w:i/>
        </w:rPr>
        <w:t xml:space="preserve"> 3</w:t>
      </w:r>
      <w:r w:rsidRPr="0028798D">
        <w:rPr>
          <w:b/>
          <w:i/>
        </w:rPr>
        <w:t>: Two-</w:t>
      </w:r>
      <w:r>
        <w:rPr>
          <w:b/>
          <w:i/>
        </w:rPr>
        <w:t>part</w:t>
      </w:r>
      <w:r w:rsidRPr="0028798D">
        <w:rPr>
          <w:b/>
          <w:i/>
        </w:rPr>
        <w:t xml:space="preserve"> beam indication can reduce UEs decoding complexity and air interface overhead.</w:t>
      </w:r>
    </w:p>
    <w:p w14:paraId="7E231E19" w14:textId="77777777" w:rsidR="00BD368E" w:rsidRDefault="00BD368E" w:rsidP="00BD368E">
      <w:pPr>
        <w:spacing w:after="60" w:line="288" w:lineRule="auto"/>
        <w:jc w:val="both"/>
        <w:rPr>
          <w:b/>
          <w:i/>
          <w:lang w:val="en-GB" w:eastAsia="ko-KR"/>
        </w:rPr>
      </w:pPr>
      <w:r>
        <w:rPr>
          <w:b/>
          <w:i/>
          <w:lang w:val="en-GB" w:eastAsia="ko-KR"/>
        </w:rPr>
        <w:t>Proposal 1: For better efficiency, study the support of UE-group DCI for TCI state indication. Where the DCI format includes TCI states for a group of UEs.</w:t>
      </w:r>
    </w:p>
    <w:p w14:paraId="030A5620" w14:textId="77777777" w:rsidR="00BD368E" w:rsidRDefault="00BD368E" w:rsidP="00BD368E">
      <w:pPr>
        <w:spacing w:after="60" w:line="288" w:lineRule="auto"/>
        <w:jc w:val="both"/>
        <w:rPr>
          <w:b/>
          <w:i/>
          <w:iCs/>
        </w:rPr>
      </w:pPr>
    </w:p>
    <w:p w14:paraId="3B2ED56E" w14:textId="105409D8" w:rsidR="00BD368E" w:rsidRPr="00C21337" w:rsidRDefault="00BD368E" w:rsidP="00BD368E">
      <w:pPr>
        <w:spacing w:after="60" w:line="288" w:lineRule="auto"/>
        <w:jc w:val="both"/>
        <w:rPr>
          <w:b/>
          <w:i/>
          <w:iCs/>
          <w:color w:val="000000" w:themeColor="text1"/>
        </w:rPr>
      </w:pPr>
      <w:r>
        <w:rPr>
          <w:b/>
          <w:i/>
          <w:iCs/>
        </w:rPr>
        <w:t>Proposal 2</w:t>
      </w:r>
      <w:r w:rsidRPr="00A55EBD">
        <w:rPr>
          <w:b/>
          <w:i/>
          <w:iCs/>
        </w:rPr>
        <w:t xml:space="preserve">: </w:t>
      </w:r>
      <w:r>
        <w:rPr>
          <w:b/>
          <w:i/>
          <w:iCs/>
        </w:rPr>
        <w:t>Study</w:t>
      </w:r>
      <w:r w:rsidRPr="00A55EBD">
        <w:rPr>
          <w:b/>
          <w:i/>
          <w:iCs/>
        </w:rPr>
        <w:t xml:space="preserve"> mechanisms to improve </w:t>
      </w:r>
      <w:r>
        <w:rPr>
          <w:b/>
          <w:i/>
          <w:iCs/>
        </w:rPr>
        <w:t>beam management during initial access.</w:t>
      </w:r>
    </w:p>
    <w:p w14:paraId="61FC869F" w14:textId="77777777" w:rsidR="00BD368E" w:rsidRDefault="00BD368E" w:rsidP="00BD368E">
      <w:pPr>
        <w:spacing w:after="60" w:line="288" w:lineRule="auto"/>
        <w:jc w:val="both"/>
        <w:rPr>
          <w:b/>
          <w:i/>
          <w:iCs/>
        </w:rPr>
      </w:pPr>
    </w:p>
    <w:p w14:paraId="49AF0E2B" w14:textId="1F6788EC" w:rsidR="00BD368E" w:rsidRPr="00A2536D" w:rsidRDefault="00BD368E" w:rsidP="00BD368E">
      <w:pPr>
        <w:spacing w:after="60" w:line="288" w:lineRule="auto"/>
        <w:jc w:val="both"/>
        <w:rPr>
          <w:b/>
          <w:i/>
          <w:iCs/>
        </w:rPr>
      </w:pPr>
      <w:r w:rsidRPr="00A2536D">
        <w:rPr>
          <w:b/>
          <w:i/>
          <w:iCs/>
        </w:rPr>
        <w:t>Observation 4: 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4DF58ADD" w14:textId="7B761E36" w:rsidR="00BD368E" w:rsidRPr="004A6744" w:rsidRDefault="00BD368E" w:rsidP="00BD368E">
      <w:pPr>
        <w:spacing w:after="60" w:line="288" w:lineRule="auto"/>
        <w:jc w:val="both"/>
        <w:rPr>
          <w:b/>
          <w:i/>
          <w:iCs/>
        </w:rPr>
      </w:pPr>
      <w:r w:rsidRPr="004A6744">
        <w:rPr>
          <w:b/>
          <w:i/>
          <w:iCs/>
        </w:rPr>
        <w:t>Observation 5: For UEs moving along a known trajectory, network can be predicate future multi-path profiles and signal</w:t>
      </w:r>
      <w:r>
        <w:rPr>
          <w:b/>
          <w:i/>
          <w:iCs/>
        </w:rPr>
        <w:t xml:space="preserve"> the corresponding TCI states ahead of</w:t>
      </w:r>
      <w:r w:rsidRPr="004A6744">
        <w:rPr>
          <w:b/>
          <w:i/>
          <w:iCs/>
        </w:rPr>
        <w:t xml:space="preserve"> time with an activation time. This reduces latency to switch to a new beam, and reduces beam indication overhead by signaling multiple TCI states in the same message.</w:t>
      </w:r>
    </w:p>
    <w:p w14:paraId="611629C4" w14:textId="77777777" w:rsidR="00BD368E" w:rsidRPr="004A6744" w:rsidRDefault="00BD368E" w:rsidP="00BD368E">
      <w:pPr>
        <w:spacing w:after="60" w:line="288" w:lineRule="auto"/>
        <w:jc w:val="both"/>
        <w:rPr>
          <w:b/>
          <w:i/>
          <w:iCs/>
        </w:rPr>
      </w:pPr>
      <w:r w:rsidRPr="004A6744">
        <w:rPr>
          <w:b/>
          <w:i/>
          <w:iCs/>
        </w:rPr>
        <w:t>Observation 6: Positioning information, can assist the network</w:t>
      </w:r>
      <w:r>
        <w:rPr>
          <w:b/>
          <w:i/>
          <w:iCs/>
        </w:rPr>
        <w:t xml:space="preserve"> in</w:t>
      </w:r>
      <w:r w:rsidRPr="004A6744">
        <w:rPr>
          <w:b/>
          <w:i/>
          <w:iCs/>
        </w:rPr>
        <w:t xml:space="preserve"> build</w:t>
      </w:r>
      <w:r>
        <w:rPr>
          <w:b/>
          <w:i/>
          <w:iCs/>
        </w:rPr>
        <w:t>ing</w:t>
      </w:r>
      <w:r w:rsidRPr="004A6744">
        <w:rPr>
          <w:b/>
          <w:i/>
          <w:iCs/>
        </w:rPr>
        <w:t xml:space="preserve"> a multi-path profile map of the coverage area that assists in determining the TCI states of UEs passing through a spatial point.</w:t>
      </w:r>
    </w:p>
    <w:p w14:paraId="2A4D34BF" w14:textId="77777777" w:rsidR="00BD368E" w:rsidRPr="000F469C" w:rsidRDefault="00BD368E" w:rsidP="00BD368E">
      <w:pPr>
        <w:spacing w:after="60" w:line="288" w:lineRule="auto"/>
        <w:jc w:val="both"/>
        <w:rPr>
          <w:lang w:eastAsia="ko-KR"/>
        </w:rPr>
      </w:pPr>
      <w:r>
        <w:rPr>
          <w:b/>
          <w:i/>
          <w:iCs/>
        </w:rPr>
        <w:t>Proposal 3</w:t>
      </w:r>
      <w:r w:rsidRPr="00A55EBD">
        <w:rPr>
          <w:b/>
          <w:i/>
          <w:iCs/>
        </w:rPr>
        <w:t xml:space="preserve">: </w:t>
      </w:r>
      <w:r>
        <w:rPr>
          <w:b/>
          <w:i/>
          <w:iCs/>
        </w:rPr>
        <w:t>Study</w:t>
      </w:r>
      <w:r w:rsidRPr="00A55EBD">
        <w:rPr>
          <w:b/>
          <w:i/>
          <w:iCs/>
        </w:rPr>
        <w:t xml:space="preserve"> mechanisms </w:t>
      </w:r>
      <w:r>
        <w:rPr>
          <w:b/>
          <w:i/>
          <w:iCs/>
        </w:rPr>
        <w:t>study predictive and positioning-assisted beam management schemes.</w:t>
      </w:r>
    </w:p>
    <w:p w14:paraId="5E20E12E" w14:textId="63BA65B2" w:rsidR="00856341" w:rsidRPr="0086527B" w:rsidRDefault="00856341" w:rsidP="00BD1100">
      <w:pPr>
        <w:spacing w:after="60" w:line="288" w:lineRule="auto"/>
        <w:jc w:val="both"/>
        <w:rPr>
          <w:highlight w:val="yellow"/>
          <w:lang w:val="en-GB" w:eastAsia="ko-KR"/>
        </w:rPr>
      </w:pPr>
    </w:p>
    <w:p w14:paraId="434CDF89" w14:textId="7CAA7BA0" w:rsidR="00282860" w:rsidRPr="000F469C" w:rsidRDefault="00282860"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443416C8" w14:textId="7BF37623" w:rsidR="0028035C" w:rsidRPr="00590E7A" w:rsidRDefault="0028035C" w:rsidP="004A6744">
      <w:pPr>
        <w:pStyle w:val="ListParagraph"/>
        <w:numPr>
          <w:ilvl w:val="0"/>
          <w:numId w:val="16"/>
        </w:numPr>
        <w:spacing w:after="60" w:line="288" w:lineRule="auto"/>
        <w:jc w:val="both"/>
      </w:pPr>
      <w:bookmarkStart w:id="8" w:name="_Ref52983144"/>
      <w:bookmarkStart w:id="9" w:name="_Ref521501348"/>
      <w:bookmarkStart w:id="10" w:name="_Ref30756422"/>
      <w:bookmarkStart w:id="11" w:name="_Ref462779233"/>
      <w:r>
        <w:rPr>
          <w:rFonts w:eastAsia="Malgun Gothic"/>
          <w:lang w:eastAsia="ko-KR"/>
        </w:rPr>
        <w:t>Chairman Notes, 3GPP RAN1#102-e, e-Meeting, August, 2020.</w:t>
      </w:r>
      <w:bookmarkEnd w:id="8"/>
    </w:p>
    <w:p w14:paraId="7C73DB1C" w14:textId="45D59575" w:rsidR="00391669" w:rsidRPr="00F46F7F" w:rsidRDefault="00D82333" w:rsidP="00391669">
      <w:pPr>
        <w:pStyle w:val="ListParagraph"/>
        <w:numPr>
          <w:ilvl w:val="0"/>
          <w:numId w:val="16"/>
        </w:numPr>
        <w:spacing w:after="60" w:line="288" w:lineRule="auto"/>
        <w:jc w:val="both"/>
      </w:pPr>
      <w:bookmarkStart w:id="12" w:name="_Ref61442023"/>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9"/>
      <w:r w:rsidR="00AF0B2E" w:rsidRPr="006B29D6">
        <w:rPr>
          <w:rFonts w:eastAsia="Malgun Gothic"/>
          <w:lang w:eastAsia="ko-KR"/>
        </w:rPr>
        <w:t xml:space="preserve"> </w:t>
      </w:r>
      <w:r w:rsidR="00FA3E2C">
        <w:rPr>
          <w:rFonts w:eastAsia="Malgun Gothic"/>
          <w:lang w:eastAsia="ko-KR"/>
        </w:rPr>
        <w:t xml:space="preserve">3GPP RAN Plenary#86, </w:t>
      </w:r>
      <w:r w:rsidR="006B29D6" w:rsidRPr="006B29D6">
        <w:rPr>
          <w:rFonts w:eastAsia="Malgun Gothic"/>
          <w:lang w:eastAsia="ko-KR"/>
        </w:rPr>
        <w:t>Stiges, Spain, December, 2019</w:t>
      </w:r>
      <w:r w:rsidR="00A621B6" w:rsidRPr="006B29D6">
        <w:rPr>
          <w:rFonts w:eastAsia="Malgun Gothic"/>
          <w:lang w:eastAsia="ko-KR"/>
        </w:rPr>
        <w:t>.</w:t>
      </w:r>
      <w:bookmarkEnd w:id="10"/>
      <w:bookmarkEnd w:id="12"/>
    </w:p>
    <w:bookmarkEnd w:id="11"/>
    <w:p w14:paraId="661FF39E" w14:textId="719D3191" w:rsidR="006743D2" w:rsidRPr="00F46F7F" w:rsidRDefault="006743D2">
      <w:pPr>
        <w:spacing w:after="60" w:line="288" w:lineRule="auto"/>
        <w:rPr>
          <w:rFonts w:eastAsiaTheme="minorEastAsia"/>
          <w:lang w:eastAsia="ko-KR"/>
        </w:rPr>
      </w:pPr>
    </w:p>
    <w:sectPr w:rsidR="006743D2" w:rsidRPr="00F46F7F"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50BFA" w14:textId="77777777" w:rsidR="003342A7" w:rsidRPr="00C47AD2" w:rsidRDefault="003342A7">
      <w:pPr>
        <w:rPr>
          <w:rFonts w:ascii="Arial" w:hAnsi="Arial"/>
          <w:sz w:val="12"/>
        </w:rPr>
      </w:pPr>
      <w:r>
        <w:separator/>
      </w:r>
    </w:p>
  </w:endnote>
  <w:endnote w:type="continuationSeparator" w:id="0">
    <w:p w14:paraId="51313494" w14:textId="77777777" w:rsidR="003342A7" w:rsidRPr="00C47AD2" w:rsidRDefault="003342A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986595" w:rsidRDefault="0098659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986595" w:rsidRDefault="0098659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C7CF5C9" w:rsidR="00986595" w:rsidRDefault="0098659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22D0">
      <w:rPr>
        <w:rStyle w:val="PageNumber"/>
      </w:rPr>
      <w:t>1</w:t>
    </w:r>
    <w:r>
      <w:rPr>
        <w:rStyle w:val="PageNumber"/>
      </w:rPr>
      <w:fldChar w:fldCharType="end"/>
    </w:r>
  </w:p>
  <w:p w14:paraId="627E69E3" w14:textId="77777777" w:rsidR="00986595" w:rsidRDefault="0098659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347DD" w14:textId="77777777" w:rsidR="003342A7" w:rsidRPr="00C47AD2" w:rsidRDefault="003342A7">
      <w:pPr>
        <w:rPr>
          <w:rFonts w:ascii="Arial" w:hAnsi="Arial"/>
          <w:sz w:val="12"/>
        </w:rPr>
      </w:pPr>
      <w:r>
        <w:separator/>
      </w:r>
    </w:p>
  </w:footnote>
  <w:footnote w:type="continuationSeparator" w:id="0">
    <w:p w14:paraId="1E54B26F" w14:textId="77777777" w:rsidR="003342A7" w:rsidRPr="00C47AD2" w:rsidRDefault="003342A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986595" w:rsidRDefault="0098659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04B99"/>
    <w:multiLevelType w:val="hybridMultilevel"/>
    <w:tmpl w:val="D1A66D06"/>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834E0"/>
    <w:multiLevelType w:val="hybridMultilevel"/>
    <w:tmpl w:val="40E6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704CDE"/>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246E1F"/>
    <w:multiLevelType w:val="hybridMultilevel"/>
    <w:tmpl w:val="E1D2C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C79F0"/>
    <w:multiLevelType w:val="hybridMultilevel"/>
    <w:tmpl w:val="9198F700"/>
    <w:lvl w:ilvl="0" w:tplc="64D82AF0">
      <w:start w:val="1"/>
      <w:numFmt w:val="bullet"/>
      <w:lvlText w:val="•"/>
      <w:lvlJc w:val="left"/>
      <w:pPr>
        <w:tabs>
          <w:tab w:val="num" w:pos="360"/>
        </w:tabs>
        <w:ind w:left="360" w:hanging="360"/>
      </w:pPr>
      <w:rPr>
        <w:rFonts w:ascii="Arial" w:hAnsi="Arial" w:hint="default"/>
      </w:rPr>
    </w:lvl>
    <w:lvl w:ilvl="1" w:tplc="9F38B9D6" w:tentative="1">
      <w:start w:val="1"/>
      <w:numFmt w:val="bullet"/>
      <w:lvlText w:val="•"/>
      <w:lvlJc w:val="left"/>
      <w:pPr>
        <w:tabs>
          <w:tab w:val="num" w:pos="1080"/>
        </w:tabs>
        <w:ind w:left="1080" w:hanging="360"/>
      </w:pPr>
      <w:rPr>
        <w:rFonts w:ascii="Arial" w:hAnsi="Arial" w:hint="default"/>
      </w:rPr>
    </w:lvl>
    <w:lvl w:ilvl="2" w:tplc="D7383890" w:tentative="1">
      <w:start w:val="1"/>
      <w:numFmt w:val="bullet"/>
      <w:lvlText w:val="•"/>
      <w:lvlJc w:val="left"/>
      <w:pPr>
        <w:tabs>
          <w:tab w:val="num" w:pos="1800"/>
        </w:tabs>
        <w:ind w:left="1800" w:hanging="360"/>
      </w:pPr>
      <w:rPr>
        <w:rFonts w:ascii="Arial" w:hAnsi="Arial" w:hint="default"/>
      </w:rPr>
    </w:lvl>
    <w:lvl w:ilvl="3" w:tplc="59FEC076" w:tentative="1">
      <w:start w:val="1"/>
      <w:numFmt w:val="bullet"/>
      <w:lvlText w:val="•"/>
      <w:lvlJc w:val="left"/>
      <w:pPr>
        <w:tabs>
          <w:tab w:val="num" w:pos="2520"/>
        </w:tabs>
        <w:ind w:left="2520" w:hanging="360"/>
      </w:pPr>
      <w:rPr>
        <w:rFonts w:ascii="Arial" w:hAnsi="Arial" w:hint="default"/>
      </w:rPr>
    </w:lvl>
    <w:lvl w:ilvl="4" w:tplc="F55A0A78" w:tentative="1">
      <w:start w:val="1"/>
      <w:numFmt w:val="bullet"/>
      <w:lvlText w:val="•"/>
      <w:lvlJc w:val="left"/>
      <w:pPr>
        <w:tabs>
          <w:tab w:val="num" w:pos="3240"/>
        </w:tabs>
        <w:ind w:left="3240" w:hanging="360"/>
      </w:pPr>
      <w:rPr>
        <w:rFonts w:ascii="Arial" w:hAnsi="Arial" w:hint="default"/>
      </w:rPr>
    </w:lvl>
    <w:lvl w:ilvl="5" w:tplc="055AB7DC" w:tentative="1">
      <w:start w:val="1"/>
      <w:numFmt w:val="bullet"/>
      <w:lvlText w:val="•"/>
      <w:lvlJc w:val="left"/>
      <w:pPr>
        <w:tabs>
          <w:tab w:val="num" w:pos="3960"/>
        </w:tabs>
        <w:ind w:left="3960" w:hanging="360"/>
      </w:pPr>
      <w:rPr>
        <w:rFonts w:ascii="Arial" w:hAnsi="Arial" w:hint="default"/>
      </w:rPr>
    </w:lvl>
    <w:lvl w:ilvl="6" w:tplc="1D469024" w:tentative="1">
      <w:start w:val="1"/>
      <w:numFmt w:val="bullet"/>
      <w:lvlText w:val="•"/>
      <w:lvlJc w:val="left"/>
      <w:pPr>
        <w:tabs>
          <w:tab w:val="num" w:pos="4680"/>
        </w:tabs>
        <w:ind w:left="4680" w:hanging="360"/>
      </w:pPr>
      <w:rPr>
        <w:rFonts w:ascii="Arial" w:hAnsi="Arial" w:hint="default"/>
      </w:rPr>
    </w:lvl>
    <w:lvl w:ilvl="7" w:tplc="4BF66C14" w:tentative="1">
      <w:start w:val="1"/>
      <w:numFmt w:val="bullet"/>
      <w:lvlText w:val="•"/>
      <w:lvlJc w:val="left"/>
      <w:pPr>
        <w:tabs>
          <w:tab w:val="num" w:pos="5400"/>
        </w:tabs>
        <w:ind w:left="5400" w:hanging="360"/>
      </w:pPr>
      <w:rPr>
        <w:rFonts w:ascii="Arial" w:hAnsi="Arial" w:hint="default"/>
      </w:rPr>
    </w:lvl>
    <w:lvl w:ilvl="8" w:tplc="9A287D8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1515A9"/>
    <w:multiLevelType w:val="hybridMultilevel"/>
    <w:tmpl w:val="412A4E86"/>
    <w:lvl w:ilvl="0" w:tplc="CDE0B0A6">
      <w:start w:val="1"/>
      <w:numFmt w:val="bullet"/>
      <w:lvlText w:val="•"/>
      <w:lvlJc w:val="left"/>
      <w:pPr>
        <w:tabs>
          <w:tab w:val="num" w:pos="360"/>
        </w:tabs>
        <w:ind w:left="360" w:hanging="360"/>
      </w:pPr>
      <w:rPr>
        <w:rFonts w:ascii="Arial" w:hAnsi="Arial" w:hint="default"/>
      </w:rPr>
    </w:lvl>
    <w:lvl w:ilvl="1" w:tplc="71622B84" w:tentative="1">
      <w:start w:val="1"/>
      <w:numFmt w:val="bullet"/>
      <w:lvlText w:val="•"/>
      <w:lvlJc w:val="left"/>
      <w:pPr>
        <w:tabs>
          <w:tab w:val="num" w:pos="1080"/>
        </w:tabs>
        <w:ind w:left="1080" w:hanging="360"/>
      </w:pPr>
      <w:rPr>
        <w:rFonts w:ascii="Arial" w:hAnsi="Arial" w:hint="default"/>
      </w:rPr>
    </w:lvl>
    <w:lvl w:ilvl="2" w:tplc="D8F6D484" w:tentative="1">
      <w:start w:val="1"/>
      <w:numFmt w:val="bullet"/>
      <w:lvlText w:val="•"/>
      <w:lvlJc w:val="left"/>
      <w:pPr>
        <w:tabs>
          <w:tab w:val="num" w:pos="1800"/>
        </w:tabs>
        <w:ind w:left="1800" w:hanging="360"/>
      </w:pPr>
      <w:rPr>
        <w:rFonts w:ascii="Arial" w:hAnsi="Arial" w:hint="default"/>
      </w:rPr>
    </w:lvl>
    <w:lvl w:ilvl="3" w:tplc="64D25F34" w:tentative="1">
      <w:start w:val="1"/>
      <w:numFmt w:val="bullet"/>
      <w:lvlText w:val="•"/>
      <w:lvlJc w:val="left"/>
      <w:pPr>
        <w:tabs>
          <w:tab w:val="num" w:pos="2520"/>
        </w:tabs>
        <w:ind w:left="2520" w:hanging="360"/>
      </w:pPr>
      <w:rPr>
        <w:rFonts w:ascii="Arial" w:hAnsi="Arial" w:hint="default"/>
      </w:rPr>
    </w:lvl>
    <w:lvl w:ilvl="4" w:tplc="A9BE8C20" w:tentative="1">
      <w:start w:val="1"/>
      <w:numFmt w:val="bullet"/>
      <w:lvlText w:val="•"/>
      <w:lvlJc w:val="left"/>
      <w:pPr>
        <w:tabs>
          <w:tab w:val="num" w:pos="3240"/>
        </w:tabs>
        <w:ind w:left="3240" w:hanging="360"/>
      </w:pPr>
      <w:rPr>
        <w:rFonts w:ascii="Arial" w:hAnsi="Arial" w:hint="default"/>
      </w:rPr>
    </w:lvl>
    <w:lvl w:ilvl="5" w:tplc="0FE64C78" w:tentative="1">
      <w:start w:val="1"/>
      <w:numFmt w:val="bullet"/>
      <w:lvlText w:val="•"/>
      <w:lvlJc w:val="left"/>
      <w:pPr>
        <w:tabs>
          <w:tab w:val="num" w:pos="3960"/>
        </w:tabs>
        <w:ind w:left="3960" w:hanging="360"/>
      </w:pPr>
      <w:rPr>
        <w:rFonts w:ascii="Arial" w:hAnsi="Arial" w:hint="default"/>
      </w:rPr>
    </w:lvl>
    <w:lvl w:ilvl="6" w:tplc="09F0BF12" w:tentative="1">
      <w:start w:val="1"/>
      <w:numFmt w:val="bullet"/>
      <w:lvlText w:val="•"/>
      <w:lvlJc w:val="left"/>
      <w:pPr>
        <w:tabs>
          <w:tab w:val="num" w:pos="4680"/>
        </w:tabs>
        <w:ind w:left="4680" w:hanging="360"/>
      </w:pPr>
      <w:rPr>
        <w:rFonts w:ascii="Arial" w:hAnsi="Arial" w:hint="default"/>
      </w:rPr>
    </w:lvl>
    <w:lvl w:ilvl="7" w:tplc="97422B26" w:tentative="1">
      <w:start w:val="1"/>
      <w:numFmt w:val="bullet"/>
      <w:lvlText w:val="•"/>
      <w:lvlJc w:val="left"/>
      <w:pPr>
        <w:tabs>
          <w:tab w:val="num" w:pos="5400"/>
        </w:tabs>
        <w:ind w:left="5400" w:hanging="360"/>
      </w:pPr>
      <w:rPr>
        <w:rFonts w:ascii="Arial" w:hAnsi="Arial" w:hint="default"/>
      </w:rPr>
    </w:lvl>
    <w:lvl w:ilvl="8" w:tplc="AC5484A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A106E6"/>
    <w:multiLevelType w:val="hybridMultilevel"/>
    <w:tmpl w:val="89C24BDE"/>
    <w:lvl w:ilvl="0" w:tplc="DE02A09E">
      <w:start w:val="1"/>
      <w:numFmt w:val="bullet"/>
      <w:lvlText w:val="•"/>
      <w:lvlJc w:val="left"/>
      <w:pPr>
        <w:tabs>
          <w:tab w:val="num" w:pos="360"/>
        </w:tabs>
        <w:ind w:left="360" w:hanging="360"/>
      </w:pPr>
      <w:rPr>
        <w:rFonts w:ascii="Arial" w:hAnsi="Arial" w:hint="default"/>
      </w:rPr>
    </w:lvl>
    <w:lvl w:ilvl="1" w:tplc="42B446A2" w:tentative="1">
      <w:start w:val="1"/>
      <w:numFmt w:val="bullet"/>
      <w:lvlText w:val="•"/>
      <w:lvlJc w:val="left"/>
      <w:pPr>
        <w:tabs>
          <w:tab w:val="num" w:pos="1080"/>
        </w:tabs>
        <w:ind w:left="1080" w:hanging="360"/>
      </w:pPr>
      <w:rPr>
        <w:rFonts w:ascii="Arial" w:hAnsi="Arial" w:hint="default"/>
      </w:rPr>
    </w:lvl>
    <w:lvl w:ilvl="2" w:tplc="1D382E88" w:tentative="1">
      <w:start w:val="1"/>
      <w:numFmt w:val="bullet"/>
      <w:lvlText w:val="•"/>
      <w:lvlJc w:val="left"/>
      <w:pPr>
        <w:tabs>
          <w:tab w:val="num" w:pos="1800"/>
        </w:tabs>
        <w:ind w:left="1800" w:hanging="360"/>
      </w:pPr>
      <w:rPr>
        <w:rFonts w:ascii="Arial" w:hAnsi="Arial" w:hint="default"/>
      </w:rPr>
    </w:lvl>
    <w:lvl w:ilvl="3" w:tplc="9ECA2C0E" w:tentative="1">
      <w:start w:val="1"/>
      <w:numFmt w:val="bullet"/>
      <w:lvlText w:val="•"/>
      <w:lvlJc w:val="left"/>
      <w:pPr>
        <w:tabs>
          <w:tab w:val="num" w:pos="2520"/>
        </w:tabs>
        <w:ind w:left="2520" w:hanging="360"/>
      </w:pPr>
      <w:rPr>
        <w:rFonts w:ascii="Arial" w:hAnsi="Arial" w:hint="default"/>
      </w:rPr>
    </w:lvl>
    <w:lvl w:ilvl="4" w:tplc="5900C89C" w:tentative="1">
      <w:start w:val="1"/>
      <w:numFmt w:val="bullet"/>
      <w:lvlText w:val="•"/>
      <w:lvlJc w:val="left"/>
      <w:pPr>
        <w:tabs>
          <w:tab w:val="num" w:pos="3240"/>
        </w:tabs>
        <w:ind w:left="3240" w:hanging="360"/>
      </w:pPr>
      <w:rPr>
        <w:rFonts w:ascii="Arial" w:hAnsi="Arial" w:hint="default"/>
      </w:rPr>
    </w:lvl>
    <w:lvl w:ilvl="5" w:tplc="854E8EE4" w:tentative="1">
      <w:start w:val="1"/>
      <w:numFmt w:val="bullet"/>
      <w:lvlText w:val="•"/>
      <w:lvlJc w:val="left"/>
      <w:pPr>
        <w:tabs>
          <w:tab w:val="num" w:pos="3960"/>
        </w:tabs>
        <w:ind w:left="3960" w:hanging="360"/>
      </w:pPr>
      <w:rPr>
        <w:rFonts w:ascii="Arial" w:hAnsi="Arial" w:hint="default"/>
      </w:rPr>
    </w:lvl>
    <w:lvl w:ilvl="6" w:tplc="5F3E57FC" w:tentative="1">
      <w:start w:val="1"/>
      <w:numFmt w:val="bullet"/>
      <w:lvlText w:val="•"/>
      <w:lvlJc w:val="left"/>
      <w:pPr>
        <w:tabs>
          <w:tab w:val="num" w:pos="4680"/>
        </w:tabs>
        <w:ind w:left="4680" w:hanging="360"/>
      </w:pPr>
      <w:rPr>
        <w:rFonts w:ascii="Arial" w:hAnsi="Arial" w:hint="default"/>
      </w:rPr>
    </w:lvl>
    <w:lvl w:ilvl="7" w:tplc="DF7E681A" w:tentative="1">
      <w:start w:val="1"/>
      <w:numFmt w:val="bullet"/>
      <w:lvlText w:val="•"/>
      <w:lvlJc w:val="left"/>
      <w:pPr>
        <w:tabs>
          <w:tab w:val="num" w:pos="5400"/>
        </w:tabs>
        <w:ind w:left="5400" w:hanging="360"/>
      </w:pPr>
      <w:rPr>
        <w:rFonts w:ascii="Arial" w:hAnsi="Arial" w:hint="default"/>
      </w:rPr>
    </w:lvl>
    <w:lvl w:ilvl="8" w:tplc="4A60C4BC" w:tentative="1">
      <w:start w:val="1"/>
      <w:numFmt w:val="bullet"/>
      <w:lvlText w:val="•"/>
      <w:lvlJc w:val="left"/>
      <w:pPr>
        <w:tabs>
          <w:tab w:val="num" w:pos="6120"/>
        </w:tabs>
        <w:ind w:left="6120" w:hanging="360"/>
      </w:pPr>
      <w:rPr>
        <w:rFonts w:ascii="Arial" w:hAnsi="Arial"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1"/>
  </w:num>
  <w:num w:numId="5">
    <w:abstractNumId w:val="19"/>
  </w:num>
  <w:num w:numId="6">
    <w:abstractNumId w:val="38"/>
  </w:num>
  <w:num w:numId="7">
    <w:abstractNumId w:val="20"/>
  </w:num>
  <w:num w:numId="8">
    <w:abstractNumId w:val="18"/>
  </w:num>
  <w:num w:numId="9">
    <w:abstractNumId w:val="34"/>
  </w:num>
  <w:num w:numId="10">
    <w:abstractNumId w:val="3"/>
  </w:num>
  <w:num w:numId="11">
    <w:abstractNumId w:val="4"/>
  </w:num>
  <w:num w:numId="12">
    <w:abstractNumId w:val="1"/>
  </w:num>
  <w:num w:numId="13">
    <w:abstractNumId w:val="35"/>
  </w:num>
  <w:num w:numId="14">
    <w:abstractNumId w:val="26"/>
  </w:num>
  <w:num w:numId="15">
    <w:abstractNumId w:val="28"/>
  </w:num>
  <w:num w:numId="16">
    <w:abstractNumId w:val="27"/>
  </w:num>
  <w:num w:numId="17">
    <w:abstractNumId w:val="22"/>
  </w:num>
  <w:num w:numId="18">
    <w:abstractNumId w:val="2"/>
  </w:num>
  <w:num w:numId="19">
    <w:abstractNumId w:val="17"/>
  </w:num>
  <w:num w:numId="20">
    <w:abstractNumId w:val="12"/>
  </w:num>
  <w:num w:numId="21">
    <w:abstractNumId w:val="30"/>
  </w:num>
  <w:num w:numId="22">
    <w:abstractNumId w:val="15"/>
  </w:num>
  <w:num w:numId="23">
    <w:abstractNumId w:val="29"/>
  </w:num>
  <w:num w:numId="24">
    <w:abstractNumId w:val="23"/>
  </w:num>
  <w:num w:numId="25">
    <w:abstractNumId w:val="25"/>
  </w:num>
  <w:num w:numId="26">
    <w:abstractNumId w:val="13"/>
  </w:num>
  <w:num w:numId="27">
    <w:abstractNumId w:val="21"/>
  </w:num>
  <w:num w:numId="28">
    <w:abstractNumId w:val="36"/>
  </w:num>
  <w:num w:numId="29">
    <w:abstractNumId w:val="8"/>
  </w:num>
  <w:num w:numId="30">
    <w:abstractNumId w:val="5"/>
  </w:num>
  <w:num w:numId="31">
    <w:abstractNumId w:val="24"/>
  </w:num>
  <w:num w:numId="32">
    <w:abstractNumId w:val="7"/>
  </w:num>
  <w:num w:numId="33">
    <w:abstractNumId w:val="10"/>
  </w:num>
  <w:num w:numId="34">
    <w:abstractNumId w:val="6"/>
  </w:num>
  <w:num w:numId="35">
    <w:abstractNumId w:val="16"/>
  </w:num>
  <w:num w:numId="36">
    <w:abstractNumId w:val="32"/>
  </w:num>
  <w:num w:numId="37">
    <w:abstractNumId w:val="39"/>
  </w:num>
  <w:num w:numId="38">
    <w:abstractNumId w:val="37"/>
  </w:num>
  <w:num w:numId="39">
    <w:abstractNumId w:val="9"/>
  </w:num>
  <w:num w:numId="40">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944"/>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08E"/>
    <w:rsid w:val="000F6154"/>
    <w:rsid w:val="000F6322"/>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5E"/>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6977"/>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5C36"/>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30"/>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2A7"/>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679"/>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1DED"/>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2EF"/>
    <w:rsid w:val="004A5532"/>
    <w:rsid w:val="004A55DF"/>
    <w:rsid w:val="004A568A"/>
    <w:rsid w:val="004A57CD"/>
    <w:rsid w:val="004A5E69"/>
    <w:rsid w:val="004A63DD"/>
    <w:rsid w:val="004A6477"/>
    <w:rsid w:val="004A6744"/>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97F"/>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80E"/>
    <w:rsid w:val="006A2AC1"/>
    <w:rsid w:val="006A2BFC"/>
    <w:rsid w:val="006A3436"/>
    <w:rsid w:val="006A3CA2"/>
    <w:rsid w:val="006A3F0A"/>
    <w:rsid w:val="006A3F16"/>
    <w:rsid w:val="006A4867"/>
    <w:rsid w:val="006A49AA"/>
    <w:rsid w:val="006A5071"/>
    <w:rsid w:val="006A532B"/>
    <w:rsid w:val="006A5542"/>
    <w:rsid w:val="006A5952"/>
    <w:rsid w:val="006A6391"/>
    <w:rsid w:val="006A64EC"/>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818"/>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E"/>
    <w:rsid w:val="007454A7"/>
    <w:rsid w:val="0074553D"/>
    <w:rsid w:val="007457A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25"/>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23"/>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E7"/>
    <w:rsid w:val="00965D8B"/>
    <w:rsid w:val="00966040"/>
    <w:rsid w:val="0096621A"/>
    <w:rsid w:val="00966457"/>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95"/>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BA8"/>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E7FBE"/>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36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2D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A4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CE0"/>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68E"/>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B3D"/>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45"/>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C9A"/>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3AF"/>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6DD9"/>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263"/>
    <w:rsid w:val="00F764B3"/>
    <w:rsid w:val="00F7698C"/>
    <w:rsid w:val="00F769EC"/>
    <w:rsid w:val="00F76DAF"/>
    <w:rsid w:val="00F771EB"/>
    <w:rsid w:val="00F77365"/>
    <w:rsid w:val="00F7749F"/>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4D"/>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1927886123">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598178340">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64624-4A7A-422A-9FFC-035A8A70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5</Pages>
  <Words>1842</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33</cp:revision>
  <cp:lastPrinted>2010-03-24T01:20:00Z</cp:lastPrinted>
  <dcterms:created xsi:type="dcterms:W3CDTF">2021-01-06T22:49:00Z</dcterms:created>
  <dcterms:modified xsi:type="dcterms:W3CDTF">2021-01-16T02:52:00Z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